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276" w:lineRule="auto"/>
        <w:jc w:val="center"/>
      </w:pPr>
      <w:r>
        <w:rPr>
          <w:rFonts w:ascii="Calibri" w:hAnsi="Calibri"/>
          <w:b/>
          <w:color w:val="003057"/>
          <w:sz w:val="52"/>
        </w:rPr>
        <w:t>AI-ASSISTED SCENARIO DEVELOPMENT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007A8C"/>
          <w:sz w:val="32"/>
        </w:rPr>
        <w:t>Cursor pattern with mandatory human review</w:t>
      </w:r>
    </w:p>
    <w:p>
      <w:pPr>
        <w:spacing w:line="276" w:lineRule="auto"/>
        <w:jc w:val="center"/>
      </w:pPr>
      <w:r>
        <w:rPr>
          <w:rFonts w:ascii="Calibri" w:hAnsi="Calibri"/>
          <w:b/>
          <w:color w:val="007A8C"/>
          <w:sz w:val="32"/>
        </w:rPr>
        <w:t>GUIDE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2"/>
        </w:rPr>
        <w:t>September 24, 2026  ·  QA Automation (AMSQUAD)  ·  QA-893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0"/>
        </w:rPr>
        <w:t>Classification: Internal — handover to engineering and support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1. Copy a neighbor class</w:t>
      </w:r>
    </w:p>
    <w:p>
      <w:pPr>
        <w:spacing w:line="276" w:lineRule="auto"/>
      </w:pPr>
      <w:r>
        <w:rPr>
          <w:rFonts w:ascii="Calibri" w:hAnsi="Calibri"/>
          <w:b w:val="0"/>
          <w:color w:val="616161"/>
          <w:sz w:val="22"/>
        </w:rPr>
        <w:t>Clone the nearest step. Extend EnrollmentBaseTest. Preserve groups and ordered state. Wire regression, integration, and localhost XML for every intended branding block.</w:t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2. Prompt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3E0" w:val="clear"/>
          </w:tcPr>
          <w:p>
            <w:pPr>
              <w:spacing w:after="200" w:before="200" w:line="276" w:lineRule="auto"/>
            </w:pPr>
            <w:r/>
            <w:r>
              <w:rPr>
                <w:rFonts w:ascii="Calibri" w:hAnsi="Calibri"/>
                <w:b/>
                <w:color w:val="003057"/>
                <w:sz w:val="22"/>
              </w:rPr>
              <w:t>Do not put passwords, JWT, or SSN in the prompt. Attach stripped Postman from GitLab api-test-automation (no secrets).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3. Human review</w:t>
      </w:r>
    </w:p>
    <w:p>
      <w:pPr>
        <w:pStyle w:val="ListBullet"/>
      </w:pPr>
      <w:r>
        <w:t>Path and method match catalog</w:t>
      </w:r>
    </w:p>
    <w:p>
      <w:pPr>
        <w:pStyle w:val="ListBullet"/>
      </w:pPr>
      <w:r>
        <w:t>No SkipException hiding 500s</w:t>
      </w:r>
    </w:p>
    <w:p>
      <w:pPr>
        <w:pStyle w:val="ListBullet"/>
      </w:pPr>
      <w:r>
        <w:t>One local run</w:t>
      </w:r>
    </w:p>
    <w:p>
      <w:pPr>
        <w:pStyle w:val="ListBullet"/>
      </w:pPr>
      <w:r>
        <w:t>Second person reviews the MR (QA-2047)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b w:val="0"/>
        <w:color w:val="616161"/>
        <w:sz w:val="16"/>
      </w:rPr>
      <w:t>QA Automation AMSQUAD  ·  September 24, 2026  ·  No credentials</w:t>
    </w:r>
  </w:p>
  <w:p>
    <w:pPr>
      <w:jc w:val="right"/>
    </w:pPr>
    <w:r>
      <w:rPr>
        <w:rFonts w:ascii="Calibri" w:hAnsi="Calibri"/>
        <w:b w:val="0"/>
        <w:color w:val="616161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16161"/>
        <w:sz w:val="16"/>
      </w:rPr>
      <w:t>Enrollment API  ·  AI scenarios  |  Internal  |  QA-893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360" w:lineRule="auto"/>
    </w:pPr>
    <w:rPr>
      <w:rFonts w:ascii="Calibri" w:hAnsi="Calibri"/>
      <w:color w:val="61616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