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line="276" w:lineRule="auto"/>
        <w:jc w:val="center"/>
      </w:pPr>
      <w:r>
        <w:rPr>
          <w:rFonts w:ascii="Calibri" w:hAnsi="Calibri"/>
          <w:b/>
          <w:color w:val="003057"/>
          <w:sz w:val="52"/>
        </w:rPr>
        <w:t>ENROLLMENT API</w:t>
      </w:r>
    </w:p>
    <w:p>
      <w:pPr>
        <w:spacing w:line="276" w:lineRule="auto"/>
        <w:jc w:val="center"/>
      </w:pPr>
      <w:r>
        <w:rPr>
          <w:rFonts w:ascii="Calibri" w:hAnsi="Calibri"/>
          <w:b w:val="0"/>
          <w:color w:val="007A8C"/>
          <w:sz w:val="32"/>
        </w:rPr>
        <w:t>Documentation index for support onboarding</w:t>
      </w:r>
    </w:p>
    <w:p>
      <w:pPr>
        <w:spacing w:line="276" w:lineRule="auto"/>
        <w:jc w:val="center"/>
      </w:pPr>
      <w:r>
        <w:rPr>
          <w:rFonts w:ascii="Calibri" w:hAnsi="Calibri"/>
          <w:b/>
          <w:color w:val="2E7D32"/>
          <w:sz w:val="32"/>
        </w:rPr>
        <w:t>PACKAGE COMPLETE</w:t>
      </w:r>
    </w:p>
    <w:p>
      <w:pPr>
        <w:spacing w:line="276" w:lineRule="auto"/>
        <w:jc w:val="center"/>
      </w:pPr>
      <w:r>
        <w:rPr>
          <w:rFonts w:ascii="Calibri" w:hAnsi="Calibri"/>
          <w:b w:val="0"/>
          <w:color w:val="616161"/>
          <w:sz w:val="22"/>
        </w:rPr>
        <w:t>September 24, 2026  ·  QA Automation (AMSQUAD)  ·  QA-893</w:t>
      </w:r>
    </w:p>
    <w:p>
      <w:pPr>
        <w:spacing w:line="276" w:lineRule="auto"/>
        <w:jc w:val="center"/>
      </w:pPr>
      <w:r>
        <w:rPr>
          <w:rFonts w:ascii="Calibri" w:hAnsi="Calibri"/>
          <w:b w:val="0"/>
          <w:color w:val="616161"/>
          <w:sz w:val="20"/>
        </w:rPr>
        <w:t>Classification: Internal — handover to engineering and support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Calibri" w:hAnsi="Calibri"/>
          <w:color w:val="003057"/>
        </w:rPr>
        <w:t>1. Purpose</w:t>
      </w:r>
    </w:p>
    <w:p>
      <w:pPr>
        <w:spacing w:line="276" w:lineRule="auto"/>
      </w:pPr>
      <w:r>
        <w:rPr>
          <w:rFonts w:ascii="Calibri" w:hAnsi="Calibri"/>
          <w:b w:val="0"/>
          <w:color w:val="616161"/>
          <w:sz w:val="22"/>
        </w:rPr>
        <w:t>Single index for Unite MSC Enrollment API automation handoff. Code lives in GitLab api-test-automation. Published documentation lives on the SharePoint API Testing Documentation Hub.</w:t>
      </w:r>
    </w:p>
    <w:p>
      <w:pPr>
        <w:pStyle w:val="Heading1"/>
        <w:spacing w:before="280" w:after="160"/>
      </w:pPr>
      <w:r>
        <w:rPr>
          <w:rFonts w:ascii="Calibri" w:hAnsi="Calibri"/>
          <w:color w:val="003057"/>
        </w:rPr>
        <w:t>2. Document control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/>
                <w:color w:val="003057"/>
                <w:sz w:val="20"/>
              </w:rPr>
              <w:t>Jira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20"/>
              </w:rPr>
              <w:t>QA-893 (subtasks QA-2039–QA-2047)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/>
                <w:color w:val="003057"/>
                <w:sz w:val="20"/>
              </w:rPr>
              <w:t>Epic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20"/>
              </w:rPr>
              <w:t>QA-796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/>
                <w:color w:val="003057"/>
                <w:sz w:val="20"/>
              </w:rPr>
              <w:t>Code repo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20"/>
              </w:rPr>
              <w:t>gitlab.com/ascensus-gs/products/depot/qa-automation/api-test-automation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/>
                <w:color w:val="003057"/>
                <w:sz w:val="20"/>
              </w:rPr>
              <w:t>Module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20"/>
              </w:rPr>
              <w:t>mobile/enrollment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/>
                <w:color w:val="003057"/>
                <w:sz w:val="20"/>
              </w:rPr>
              <w:t>Published docs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20"/>
              </w:rPr>
              <w:t>SharePoint API Testing Documentation Hub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Calibri" w:hAnsi="Calibri"/>
          <w:color w:val="003057"/>
        </w:rPr>
        <w:t>3. Pack 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003057" w:val="clear"/>
          </w:tcPr>
          <w:p>
            <w:pPr>
              <w:spacing w:after="40" w:before="4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3173"/>
            <w:shd w:fill="003057" w:val="clear"/>
          </w:tcPr>
          <w:p>
            <w:pPr>
              <w:spacing w:after="40" w:before="4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Audience</w:t>
            </w:r>
          </w:p>
        </w:tc>
        <w:tc>
          <w:tcPr>
            <w:tcW w:type="dxa" w:w="3173"/>
            <w:shd w:fill="003057" w:val="clear"/>
          </w:tcPr>
          <w:p>
            <w:pPr>
              <w:spacing w:after="40" w:before="4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Subtask</w:t>
            </w:r>
          </w:p>
        </w:tc>
      </w:tr>
      <w:tr>
        <w:tc>
          <w:tcPr>
            <w:tcW w:type="dxa" w:w="3173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Architecture, setup, environments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Engineers onboarding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QA-2040</w:t>
            </w:r>
          </w:p>
        </w:tc>
      </w:tr>
      <w:tr>
        <w:tc>
          <w:tcPr>
            <w:tcW w:type="dxa" w:w="3173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Execution and troubleshooting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Anyone running suites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QA-2041</w:t>
            </w:r>
          </w:p>
        </w:tc>
      </w:tr>
      <w:tr>
        <w:tc>
          <w:tcPr>
            <w:tcW w:type="dxa" w:w="3173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Reporting and triage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On-call / lead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QA-2042</w:t>
            </w:r>
          </w:p>
        </w:tc>
      </w:tr>
      <w:tr>
        <w:tc>
          <w:tcPr>
            <w:tcW w:type="dxa" w:w="3173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Sign-off and coverage matrix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ACM / leadership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QA-2043</w:t>
            </w:r>
          </w:p>
        </w:tc>
      </w:tr>
      <w:tr>
        <w:tc>
          <w:tcPr>
            <w:tcW w:type="dxa" w:w="3173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Post DB-refresh checklist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Ops after refresh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QA-2044</w:t>
            </w:r>
          </w:p>
        </w:tc>
      </w:tr>
      <w:tr>
        <w:tc>
          <w:tcPr>
            <w:tcW w:type="dxa" w:w="3173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AI scenario guide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Engineers adding cases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QA-2046</w:t>
            </w:r>
          </w:p>
        </w:tc>
      </w:tr>
      <w:tr>
        <w:tc>
          <w:tcPr>
            <w:tcW w:type="dxa" w:w="3173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Secrets + independent review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Second reviewer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QA-2045 / 2047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Calibri" w:hAnsi="Calibri"/>
          <w:color w:val="003057"/>
        </w:rPr>
        <w:t>4. SharePoint</w:t>
      </w:r>
    </w:p>
    <w:p>
      <w:pPr>
        <w:spacing w:line="276" w:lineRule="auto"/>
      </w:pPr>
      <w:r>
        <w:rPr>
          <w:rFonts w:ascii="Calibri" w:hAnsi="Calibri"/>
          <w:b w:val="0"/>
          <w:color w:val="616161"/>
          <w:sz w:val="22"/>
        </w:rPr>
        <w:t>Publish only: Home, How to run, Sign-off, After DB refresh. Attach Word files. Do not upload host properties or Postman environments with secrets.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b w:val="0"/>
        <w:color w:val="616161"/>
        <w:sz w:val="16"/>
      </w:rPr>
      <w:t>QA Automation AMSQUAD  ·  September 24, 2026  ·  No credentials</w:t>
    </w:r>
  </w:p>
  <w:p>
    <w:pPr>
      <w:jc w:val="right"/>
    </w:pPr>
    <w:r>
      <w:rPr>
        <w:rFonts w:ascii="Calibri" w:hAnsi="Calibri"/>
        <w:b w:val="0"/>
        <w:color w:val="616161"/>
        <w:sz w:val="16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616161"/>
        <w:sz w:val="16"/>
      </w:rPr>
      <w:t>Enrollment API  ·  Documentation index  |  Internal  |  QA-893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360" w:lineRule="auto"/>
    </w:pPr>
    <w:rPr>
      <w:rFonts w:ascii="Calibri" w:hAnsi="Calibri"/>
      <w:color w:val="61616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