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276" w:lineRule="auto"/>
        <w:jc w:val="center"/>
      </w:pPr>
      <w:r>
        <w:rPr>
          <w:rFonts w:ascii="Calibri" w:hAnsi="Calibri"/>
          <w:b/>
          <w:color w:val="003057"/>
          <w:sz w:val="52"/>
        </w:rPr>
        <w:t>POST DATABASE-REFRESH CHECKLIST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007A8C"/>
          <w:sz w:val="32"/>
        </w:rPr>
        <w:t>Operational steps before calling regression green</w:t>
      </w:r>
    </w:p>
    <w:p>
      <w:pPr>
        <w:spacing w:line="276" w:lineRule="auto"/>
        <w:jc w:val="center"/>
      </w:pPr>
      <w:r>
        <w:rPr>
          <w:rFonts w:ascii="Calibri" w:hAnsi="Calibri"/>
          <w:b/>
          <w:color w:val="007A8C"/>
          <w:sz w:val="32"/>
        </w:rPr>
        <w:t>CHECKLIST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2"/>
        </w:rPr>
        <w:t>September 24, 2026  ·  QA Automation (AMSQUAD)  ·  QA-893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0"/>
        </w:rPr>
        <w:t>Classification: Internal — handover to engineering and support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1. After refresh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73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73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1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Verify team-approved Oracle relay access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2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Host properties still valid (not committed)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3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Recreate QAAUTOTEST% (or current pattern) accounts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4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Re-enroll test MFA devices only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5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 certificate — encrypt with new cert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6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 okdirect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7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 regression okdirect + newyork + nmdirect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8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Allocation fund ids still valid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9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Freshservice if Linux/DB access dropped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2. Minimum bar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8F5E9" w:val="clear"/>
          </w:tcPr>
          <w:p>
            <w:pPr>
              <w:spacing w:after="200" w:before="200" w:line="276" w:lineRule="auto"/>
            </w:pPr>
            <w:r/>
            <w:r>
              <w:rPr>
                <w:rFonts w:ascii="Calibri" w:hAnsi="Calibri"/>
                <w:b/>
                <w:color w:val="003057"/>
                <w:sz w:val="22"/>
              </w:rPr>
              <w:t>Green smoke + one wizard regression on okdirect = environment usable. Full three-plant regression = current sustainment bar.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color w:val="616161"/>
        <w:sz w:val="16"/>
      </w:rPr>
      <w:t>QA Automation AMSQUAD  ·  September 24, 2026  ·  No credentials</w:t>
    </w:r>
  </w:p>
  <w:p>
    <w:pPr>
      <w:jc w:val="right"/>
    </w:pPr>
    <w:r>
      <w:rPr>
        <w:rFonts w:ascii="Calibri" w:hAnsi="Calibri"/>
        <w:b w:val="0"/>
        <w:color w:val="616161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16161"/>
        <w:sz w:val="16"/>
      </w:rPr>
      <w:t>Enrollment API  ·  DB refresh  |  Internal  |  QA-893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360" w:lineRule="auto"/>
    </w:pPr>
    <w:rPr>
      <w:rFonts w:ascii="Calibri" w:hAnsi="Calibri"/>
      <w:color w:val="61616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