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REPORTING, TRIAGE, EVIDENCE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What to keep after a run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007A8C"/>
          <w:sz w:val="32"/>
        </w:rPr>
        <w:t>GUIDE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24,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Artifacts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Surefire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mobile/enrollment/target/surefire-reports/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HTML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target/mobile-ms-report/ when listener is enabled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Do not commit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target/, host properties, raw tokens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Triage</w:t>
      </w:r>
    </w:p>
    <w:p>
      <w:pPr>
        <w:pStyle w:val="ListBullet"/>
      </w:pPr>
      <w:r>
        <w:t>Classify environment vs script vs product (automation-bug-lifecycle).</w:t>
      </w:r>
    </w:p>
    <w:p>
      <w:pPr>
        <w:pStyle w:val="ListBullet"/>
      </w:pPr>
      <w:r>
        <w:t>Do not log partner-deferred APIs as product bugs.</w:t>
      </w:r>
    </w:p>
    <w:p>
      <w:pPr>
        <w:pStyle w:val="ListBullet"/>
      </w:pPr>
      <w:r>
        <w:t>Redact Authorization headers before Jira.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Retention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3E0" w:val="clear"/>
          </w:tcPr>
          <w:p>
            <w:pPr>
              <w:spacing w:after="200" w:before="200" w:line="276" w:lineRule="auto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Keep date, plant, suite, counts. Never keep JWT, passwords, or SSN.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24,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Reporting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