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Unite MSC / NRTMC Automation Executive Status</w:t>
      </w:r>
    </w:p>
    <w:p>
      <w:pPr>
        <w:jc w:val="center"/>
      </w:pPr>
      <w:r>
        <w:rPr>
          <w:color w:val="6B7280"/>
          <w:sz w:val="17"/>
        </w:rPr>
        <w:t>Visual leadership update for Kevin Daines | QA Automation | August 7, 2026</w:t>
      </w:r>
    </w:p>
    <w:p>
      <w:pPr>
        <w:pBdr>
          <w:bottom w:val="single" w:sz="6" w:space="1" w:color="D1D5DB"/>
        </w:pBdr>
      </w:pPr>
    </w:p>
    <w:tbl>
      <w:tblPr>
        <w:tblW w:type="auto" w:w="0"/>
        <w:jc w:val="center"/>
        <w:tblLook w:firstColumn="1" w:firstRow="1" w:lastColumn="0" w:lastRow="0" w:noHBand="0" w:noVBand="1" w:val="04A0"/>
      </w:tblPr>
      <w:tblGrid>
        <w:gridCol w:w="10454"/>
      </w:tblGrid>
      <w:tr>
        <w:tc>
          <w:tcPr>
            <w:tcW w:type="dxa" w:w="10454"/>
            <w:shd w:fill="EAF2F8"/>
            <w:tcMar>
              <w:top w:w="160" w:type="dxa"/>
              <w:start w:w="220" w:type="dxa"/>
              <w:bottom w:w="160" w:type="dxa"/>
              <w:end w:w="220" w:type="dxa"/>
            </w:tcMar>
          </w:tcPr>
          <w:p>
            <w:r/>
            <w:r>
              <w:rPr>
                <w:b/>
                <w:color w:val="1F4E79"/>
                <w:sz w:val="20"/>
              </w:rPr>
              <w:t xml:space="preserve">Executive snapshot: </w:t>
            </w:r>
            <w:r>
              <w:rPr>
                <w:color w:val="111827"/>
                <w:sz w:val="18"/>
              </w:rPr>
              <w:t>Mobile 2 is fully available, Mobile 1 is effectively complete at roughly 90%, Enrollment is now the active build-out area, and pipeline / nightly regression work is moving in parallel. Performance testing is progressing, but it should be shown separately because the work requires research, baseline validation, stable data, and repeatable environment runs before it becomes scheduled regression.</w:t>
            </w:r>
          </w:p>
        </w:tc>
      </w:tr>
    </w:tbl>
    <w:p>
      <w:pPr>
        <w:pStyle w:val="Heading1"/>
      </w:pPr>
      <w:r>
        <w:t>1. Program Metrics at a Glance</w:t>
      </w:r>
    </w:p>
    <w:p>
      <w:pPr>
        <w:jc w:val="left"/>
      </w:pPr>
      <w:r>
        <w:rPr>
          <w:color w:val="6B7280"/>
          <w:sz w:val="17"/>
        </w:rPr>
        <w:t>Leadership view: this chart uses relative readiness for executive tracking. It is not source-code coverage.</w:t>
      </w:r>
    </w:p>
    <w:p>
      <w:pPr>
        <w:jc w:val="center"/>
      </w:pPr>
      <w:r>
        <w:drawing>
          <wp:inline xmlns:a="http://schemas.openxmlformats.org/drawingml/2006/main" xmlns:pic="http://schemas.openxmlformats.org/drawingml/2006/picture">
            <wp:extent cx="6309360" cy="2474500"/>
            <wp:docPr id="1" name="Picture 1"/>
            <wp:cNvGraphicFramePr>
              <a:graphicFrameLocks noChangeAspect="1"/>
            </wp:cNvGraphicFramePr>
            <a:graphic>
              <a:graphicData uri="http://schemas.openxmlformats.org/drawingml/2006/picture">
                <pic:pic>
                  <pic:nvPicPr>
                    <pic:cNvPr id="0" name="program_readiness.png"/>
                    <pic:cNvPicPr/>
                  </pic:nvPicPr>
                  <pic:blipFill>
                    <a:blip r:embed="rId9"/>
                    <a:stretch>
                      <a:fillRect/>
                    </a:stretch>
                  </pic:blipFill>
                  <pic:spPr>
                    <a:xfrm>
                      <a:off x="0" y="0"/>
                      <a:ext cx="6309360" cy="2474500"/>
                    </a:xfrm>
                    <a:prstGeom prst="rect"/>
                  </pic:spPr>
                </pic:pic>
              </a:graphicData>
            </a:graphic>
          </wp:inline>
        </w:drawing>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800"/>
            <w:vAlign w:val="center"/>
            <w:shd w:fill="1F4E79"/>
            <w:tcMar>
              <w:top w:w="115" w:type="dxa"/>
              <w:start w:w="130" w:type="dxa"/>
              <w:bottom w:w="115" w:type="dxa"/>
              <w:end w:w="130" w:type="dxa"/>
            </w:tcMar>
          </w:tcPr>
          <w:p>
            <w:pPr>
              <w:jc w:val="center"/>
            </w:pPr>
            <w:r/>
            <w:r>
              <w:rPr>
                <w:rFonts w:ascii="Aptos" w:hAnsi="Aptos"/>
                <w:b/>
                <w:color w:val="FFFFFF"/>
                <w:sz w:val="17"/>
              </w:rPr>
              <w:t>Track</w:t>
            </w:r>
          </w:p>
        </w:tc>
        <w:tc>
          <w:tcPr>
            <w:tcW w:type="dxa" w:w="2088"/>
            <w:vAlign w:val="center"/>
            <w:shd w:fill="1F4E79"/>
            <w:tcMar>
              <w:top w:w="115" w:type="dxa"/>
              <w:start w:w="130" w:type="dxa"/>
              <w:bottom w:w="115" w:type="dxa"/>
              <w:end w:w="130" w:type="dxa"/>
            </w:tcMar>
          </w:tcPr>
          <w:p>
            <w:pPr>
              <w:jc w:val="center"/>
            </w:pPr>
            <w:r/>
            <w:r>
              <w:rPr>
                <w:rFonts w:ascii="Aptos" w:hAnsi="Aptos"/>
                <w:b/>
                <w:color w:val="FFFFFF"/>
                <w:sz w:val="17"/>
              </w:rPr>
              <w:t>Status</w:t>
            </w:r>
          </w:p>
        </w:tc>
        <w:tc>
          <w:tcPr>
            <w:tcW w:type="dxa" w:w="1512"/>
            <w:vAlign w:val="center"/>
            <w:shd w:fill="1F4E79"/>
            <w:tcMar>
              <w:top w:w="115" w:type="dxa"/>
              <w:start w:w="130" w:type="dxa"/>
              <w:bottom w:w="115" w:type="dxa"/>
              <w:end w:w="130" w:type="dxa"/>
            </w:tcMar>
          </w:tcPr>
          <w:p>
            <w:pPr>
              <w:jc w:val="center"/>
            </w:pPr>
            <w:r/>
            <w:r>
              <w:rPr>
                <w:rFonts w:ascii="Aptos" w:hAnsi="Aptos"/>
                <w:b/>
                <w:color w:val="FFFFFF"/>
                <w:sz w:val="17"/>
              </w:rPr>
              <w:t>Approx.</w:t>
            </w:r>
          </w:p>
        </w:tc>
        <w:tc>
          <w:tcPr>
            <w:tcW w:type="dxa" w:w="5760"/>
            <w:vAlign w:val="center"/>
            <w:shd w:fill="1F4E79"/>
            <w:tcMar>
              <w:top w:w="115" w:type="dxa"/>
              <w:start w:w="130" w:type="dxa"/>
              <w:bottom w:w="115" w:type="dxa"/>
              <w:end w:w="130" w:type="dxa"/>
            </w:tcMar>
          </w:tcPr>
          <w:p>
            <w:pPr>
              <w:jc w:val="center"/>
            </w:pPr>
            <w:r/>
            <w:r>
              <w:rPr>
                <w:rFonts w:ascii="Aptos" w:hAnsi="Aptos"/>
                <w:b/>
                <w:color w:val="FFFFFF"/>
                <w:sz w:val="17"/>
              </w:rPr>
              <w:t>RAG / leadership message</w:t>
            </w:r>
          </w:p>
        </w:tc>
      </w:tr>
      <w:tr>
        <w:tc>
          <w:tcPr>
            <w:tcW w:type="dxa" w:w="1800"/>
            <w:vAlign w:val="center"/>
            <w:tcMar>
              <w:top w:w="115" w:type="dxa"/>
              <w:start w:w="130" w:type="dxa"/>
              <w:bottom w:w="115" w:type="dxa"/>
              <w:end w:w="130" w:type="dxa"/>
            </w:tcMar>
          </w:tcPr>
          <w:p>
            <w:r/>
            <w:r>
              <w:rPr>
                <w:rFonts w:ascii="Aptos" w:hAnsi="Aptos"/>
                <w:b/>
                <w:sz w:val="16"/>
              </w:rPr>
              <w:t>Mobile 2</w:t>
            </w:r>
          </w:p>
        </w:tc>
        <w:tc>
          <w:tcPr>
            <w:tcW w:type="dxa" w:w="2088"/>
            <w:vAlign w:val="center"/>
            <w:tcMar>
              <w:top w:w="115" w:type="dxa"/>
              <w:start w:w="130" w:type="dxa"/>
              <w:bottom w:w="115" w:type="dxa"/>
              <w:end w:w="130" w:type="dxa"/>
            </w:tcMar>
            <w:shd w:fill="E5F3E8"/>
          </w:tcPr>
          <w:p>
            <w:r/>
            <w:r>
              <w:rPr>
                <w:rFonts w:ascii="Aptos" w:hAnsi="Aptos"/>
                <w:b w:val="0"/>
                <w:sz w:val="16"/>
              </w:rPr>
              <w:t>Complete</w:t>
            </w:r>
          </w:p>
        </w:tc>
        <w:tc>
          <w:tcPr>
            <w:tcW w:type="dxa" w:w="1512"/>
            <w:vAlign w:val="center"/>
            <w:tcMar>
              <w:top w:w="115" w:type="dxa"/>
              <w:start w:w="130" w:type="dxa"/>
              <w:bottom w:w="115" w:type="dxa"/>
              <w:end w:w="130" w:type="dxa"/>
            </w:tcMar>
            <w:shd w:fill="F8FAFC"/>
          </w:tcPr>
          <w:p>
            <w:r/>
            <w:r>
              <w:rPr>
                <w:rFonts w:ascii="Aptos" w:hAnsi="Aptos"/>
                <w:b w:val="0"/>
                <w:sz w:val="16"/>
              </w:rPr>
              <w:t>100%</w:t>
            </w:r>
          </w:p>
        </w:tc>
        <w:tc>
          <w:tcPr>
            <w:tcW w:type="dxa" w:w="5760"/>
            <w:vAlign w:val="center"/>
            <w:tcMar>
              <w:top w:w="115" w:type="dxa"/>
              <w:start w:w="130" w:type="dxa"/>
              <w:bottom w:w="115" w:type="dxa"/>
              <w:end w:w="130" w:type="dxa"/>
            </w:tcMar>
          </w:tcPr>
          <w:p>
            <w:r/>
            <w:r>
              <w:rPr>
                <w:rFonts w:ascii="Aptos" w:hAnsi="Aptos"/>
                <w:b w:val="0"/>
                <w:sz w:val="16"/>
              </w:rPr>
              <w:t>Available today; ready for sign-off / ongoing regression use.</w:t>
            </w:r>
          </w:p>
        </w:tc>
      </w:tr>
      <w:tr>
        <w:tc>
          <w:tcPr>
            <w:tcW w:type="dxa" w:w="1800"/>
            <w:vAlign w:val="center"/>
            <w:tcMar>
              <w:top w:w="115" w:type="dxa"/>
              <w:start w:w="130" w:type="dxa"/>
              <w:bottom w:w="115" w:type="dxa"/>
              <w:end w:w="130" w:type="dxa"/>
            </w:tcMar>
          </w:tcPr>
          <w:p>
            <w:r/>
            <w:r>
              <w:rPr>
                <w:rFonts w:ascii="Aptos" w:hAnsi="Aptos"/>
                <w:b/>
                <w:sz w:val="16"/>
              </w:rPr>
              <w:t>Mobile 1</w:t>
            </w:r>
          </w:p>
        </w:tc>
        <w:tc>
          <w:tcPr>
            <w:tcW w:type="dxa" w:w="2088"/>
            <w:vAlign w:val="center"/>
            <w:tcMar>
              <w:top w:w="115" w:type="dxa"/>
              <w:start w:w="130" w:type="dxa"/>
              <w:bottom w:w="115" w:type="dxa"/>
              <w:end w:w="130" w:type="dxa"/>
            </w:tcMar>
            <w:shd w:fill="FCE4D6"/>
          </w:tcPr>
          <w:p>
            <w:r/>
            <w:r>
              <w:rPr>
                <w:rFonts w:ascii="Aptos" w:hAnsi="Aptos"/>
                <w:b w:val="0"/>
                <w:sz w:val="16"/>
              </w:rPr>
              <w:t>Effectively complete</w:t>
            </w:r>
          </w:p>
        </w:tc>
        <w:tc>
          <w:tcPr>
            <w:tcW w:type="dxa" w:w="1512"/>
            <w:vAlign w:val="center"/>
            <w:tcMar>
              <w:top w:w="115" w:type="dxa"/>
              <w:start w:w="130" w:type="dxa"/>
              <w:bottom w:w="115" w:type="dxa"/>
              <w:end w:w="130" w:type="dxa"/>
            </w:tcMar>
            <w:shd w:fill="F8FAFC"/>
          </w:tcPr>
          <w:p>
            <w:r/>
            <w:r>
              <w:rPr>
                <w:rFonts w:ascii="Aptos" w:hAnsi="Aptos"/>
                <w:b w:val="0"/>
                <w:sz w:val="16"/>
              </w:rPr>
              <w:t>~90%</w:t>
            </w:r>
          </w:p>
        </w:tc>
        <w:tc>
          <w:tcPr>
            <w:tcW w:type="dxa" w:w="5760"/>
            <w:vAlign w:val="center"/>
            <w:tcMar>
              <w:top w:w="115" w:type="dxa"/>
              <w:start w:w="130" w:type="dxa"/>
              <w:bottom w:w="115" w:type="dxa"/>
              <w:end w:w="130" w:type="dxa"/>
            </w:tcMar>
          </w:tcPr>
          <w:p>
            <w:r/>
            <w:r>
              <w:rPr>
                <w:rFonts w:ascii="Aptos" w:hAnsi="Aptos"/>
                <w:b w:val="0"/>
                <w:sz w:val="16"/>
              </w:rPr>
              <w:t>Major flows in place; minor gap review should not block the broader program.</w:t>
            </w:r>
          </w:p>
        </w:tc>
      </w:tr>
      <w:tr>
        <w:tc>
          <w:tcPr>
            <w:tcW w:type="dxa" w:w="1800"/>
            <w:vAlign w:val="center"/>
            <w:tcMar>
              <w:top w:w="115" w:type="dxa"/>
              <w:start w:w="130" w:type="dxa"/>
              <w:bottom w:w="115" w:type="dxa"/>
              <w:end w:w="130" w:type="dxa"/>
            </w:tcMar>
          </w:tcPr>
          <w:p>
            <w:r/>
            <w:r>
              <w:rPr>
                <w:rFonts w:ascii="Aptos" w:hAnsi="Aptos"/>
                <w:b/>
                <w:sz w:val="16"/>
              </w:rPr>
              <w:t>Enrollment</w:t>
            </w:r>
          </w:p>
        </w:tc>
        <w:tc>
          <w:tcPr>
            <w:tcW w:type="dxa" w:w="2088"/>
            <w:vAlign w:val="center"/>
            <w:tcMar>
              <w:top w:w="115" w:type="dxa"/>
              <w:start w:w="130" w:type="dxa"/>
              <w:bottom w:w="115" w:type="dxa"/>
              <w:end w:w="130" w:type="dxa"/>
            </w:tcMar>
            <w:shd w:fill="FFF4CC"/>
          </w:tcPr>
          <w:p>
            <w:r/>
            <w:r>
              <w:rPr>
                <w:rFonts w:ascii="Aptos" w:hAnsi="Aptos"/>
                <w:b w:val="0"/>
                <w:sz w:val="16"/>
              </w:rPr>
              <w:t>In progress</w:t>
            </w:r>
          </w:p>
        </w:tc>
        <w:tc>
          <w:tcPr>
            <w:tcW w:type="dxa" w:w="1512"/>
            <w:vAlign w:val="center"/>
            <w:tcMar>
              <w:top w:w="115" w:type="dxa"/>
              <w:start w:w="130" w:type="dxa"/>
              <w:bottom w:w="115" w:type="dxa"/>
              <w:end w:w="130" w:type="dxa"/>
            </w:tcMar>
            <w:shd w:fill="F8FAFC"/>
          </w:tcPr>
          <w:p>
            <w:r/>
            <w:r>
              <w:rPr>
                <w:rFonts w:ascii="Aptos" w:hAnsi="Aptos"/>
                <w:b w:val="0"/>
                <w:sz w:val="16"/>
              </w:rPr>
              <w:t>~15%</w:t>
            </w:r>
          </w:p>
        </w:tc>
        <w:tc>
          <w:tcPr>
            <w:tcW w:type="dxa" w:w="5760"/>
            <w:vAlign w:val="center"/>
            <w:tcMar>
              <w:top w:w="115" w:type="dxa"/>
              <w:start w:w="130" w:type="dxa"/>
              <w:bottom w:w="115" w:type="dxa"/>
              <w:end w:w="130" w:type="dxa"/>
            </w:tcMar>
          </w:tcPr>
          <w:p>
            <w:r/>
            <w:r>
              <w:rPr>
                <w:rFonts w:ascii="Aptos" w:hAnsi="Aptos"/>
                <w:b w:val="0"/>
                <w:sz w:val="16"/>
              </w:rPr>
              <w:t>Active sprint focus: first end-to-end vertical slice.</w:t>
            </w:r>
          </w:p>
        </w:tc>
      </w:tr>
      <w:tr>
        <w:tc>
          <w:tcPr>
            <w:tcW w:type="dxa" w:w="1800"/>
            <w:vAlign w:val="center"/>
            <w:tcMar>
              <w:top w:w="115" w:type="dxa"/>
              <w:start w:w="130" w:type="dxa"/>
              <w:bottom w:w="115" w:type="dxa"/>
              <w:end w:w="130" w:type="dxa"/>
            </w:tcMar>
          </w:tcPr>
          <w:p>
            <w:r/>
            <w:r>
              <w:rPr>
                <w:rFonts w:ascii="Aptos" w:hAnsi="Aptos"/>
                <w:b/>
                <w:sz w:val="16"/>
              </w:rPr>
              <w:t>CI / Pipelines</w:t>
            </w:r>
          </w:p>
        </w:tc>
        <w:tc>
          <w:tcPr>
            <w:tcW w:type="dxa" w:w="2088"/>
            <w:vAlign w:val="center"/>
            <w:tcMar>
              <w:top w:w="115" w:type="dxa"/>
              <w:start w:w="130" w:type="dxa"/>
              <w:bottom w:w="115" w:type="dxa"/>
              <w:end w:w="130" w:type="dxa"/>
            </w:tcMar>
            <w:shd w:fill="FFF4CC"/>
          </w:tcPr>
          <w:p>
            <w:r/>
            <w:r>
              <w:rPr>
                <w:rFonts w:ascii="Aptos" w:hAnsi="Aptos"/>
                <w:b w:val="0"/>
                <w:sz w:val="16"/>
              </w:rPr>
              <w:t>In parallel</w:t>
            </w:r>
          </w:p>
        </w:tc>
        <w:tc>
          <w:tcPr>
            <w:tcW w:type="dxa" w:w="1512"/>
            <w:vAlign w:val="center"/>
            <w:tcMar>
              <w:top w:w="115" w:type="dxa"/>
              <w:start w:w="130" w:type="dxa"/>
              <w:bottom w:w="115" w:type="dxa"/>
              <w:end w:w="130" w:type="dxa"/>
            </w:tcMar>
            <w:shd w:fill="F8FAFC"/>
          </w:tcPr>
          <w:p>
            <w:r/>
            <w:r>
              <w:rPr>
                <w:rFonts w:ascii="Aptos" w:hAnsi="Aptos"/>
                <w:b w:val="0"/>
                <w:sz w:val="16"/>
              </w:rPr>
              <w:t>Qualitative</w:t>
            </w:r>
          </w:p>
        </w:tc>
        <w:tc>
          <w:tcPr>
            <w:tcW w:type="dxa" w:w="5760"/>
            <w:vAlign w:val="center"/>
            <w:tcMar>
              <w:top w:w="115" w:type="dxa"/>
              <w:start w:w="130" w:type="dxa"/>
              <w:bottom w:w="115" w:type="dxa"/>
              <w:end w:w="130" w:type="dxa"/>
            </w:tcMar>
          </w:tcPr>
          <w:p>
            <w:r/>
            <w:r>
              <w:rPr>
                <w:rFonts w:ascii="Aptos" w:hAnsi="Aptos"/>
                <w:b w:val="0"/>
                <w:sz w:val="16"/>
              </w:rPr>
              <w:t>GitLab and GitHub nightly wiring in progress.</w:t>
            </w:r>
          </w:p>
        </w:tc>
      </w:tr>
      <w:tr>
        <w:tc>
          <w:tcPr>
            <w:tcW w:type="dxa" w:w="1800"/>
            <w:vAlign w:val="center"/>
            <w:tcMar>
              <w:top w:w="115" w:type="dxa"/>
              <w:start w:w="130" w:type="dxa"/>
              <w:bottom w:w="115" w:type="dxa"/>
              <w:end w:w="130" w:type="dxa"/>
            </w:tcMar>
          </w:tcPr>
          <w:p>
            <w:r/>
            <w:r>
              <w:rPr>
                <w:rFonts w:ascii="Aptos" w:hAnsi="Aptos"/>
                <w:b/>
                <w:sz w:val="16"/>
              </w:rPr>
              <w:t>Performance</w:t>
            </w:r>
          </w:p>
        </w:tc>
        <w:tc>
          <w:tcPr>
            <w:tcW w:type="dxa" w:w="2088"/>
            <w:vAlign w:val="center"/>
            <w:tcMar>
              <w:top w:w="115" w:type="dxa"/>
              <w:start w:w="130" w:type="dxa"/>
              <w:bottom w:w="115" w:type="dxa"/>
              <w:end w:w="130" w:type="dxa"/>
            </w:tcMar>
            <w:shd w:fill="FCE4D6"/>
          </w:tcPr>
          <w:p>
            <w:r/>
            <w:r>
              <w:rPr>
                <w:rFonts w:ascii="Aptos" w:hAnsi="Aptos"/>
                <w:b w:val="0"/>
                <w:sz w:val="16"/>
              </w:rPr>
              <w:t>Research + baseline path</w:t>
            </w:r>
          </w:p>
        </w:tc>
        <w:tc>
          <w:tcPr>
            <w:tcW w:type="dxa" w:w="1512"/>
            <w:vAlign w:val="center"/>
            <w:tcMar>
              <w:top w:w="115" w:type="dxa"/>
              <w:start w:w="130" w:type="dxa"/>
              <w:bottom w:w="115" w:type="dxa"/>
              <w:end w:w="130" w:type="dxa"/>
            </w:tcMar>
            <w:shd w:fill="F8FAFC"/>
          </w:tcPr>
          <w:p>
            <w:r/>
            <w:r>
              <w:rPr>
                <w:rFonts w:ascii="Aptos" w:hAnsi="Aptos"/>
                <w:b w:val="0"/>
                <w:sz w:val="16"/>
              </w:rPr>
              <w:t>Qualitative</w:t>
            </w:r>
          </w:p>
        </w:tc>
        <w:tc>
          <w:tcPr>
            <w:tcW w:type="dxa" w:w="5760"/>
            <w:vAlign w:val="center"/>
            <w:tcMar>
              <w:top w:w="115" w:type="dxa"/>
              <w:start w:w="130" w:type="dxa"/>
              <w:bottom w:w="115" w:type="dxa"/>
              <w:end w:w="130" w:type="dxa"/>
            </w:tcMar>
          </w:tcPr>
          <w:p>
            <w:r/>
            <w:r>
              <w:rPr>
                <w:rFonts w:ascii="Aptos" w:hAnsi="Aptos"/>
                <w:b w:val="0"/>
                <w:sz w:val="16"/>
              </w:rPr>
              <w:t>Treat as scenario readiness, not simple endpoint coverage.</w:t>
            </w:r>
          </w:p>
        </w:tc>
      </w:tr>
    </w:tbl>
    <w:p>
      <w:r>
        <w:br w:type="page"/>
      </w:r>
    </w:p>
    <w:p>
      <w:pPr>
        <w:pStyle w:val="Heading1"/>
      </w:pPr>
      <w:r>
        <w:t>2. Automation Coverage Snapshot</w:t>
      </w:r>
    </w:p>
    <w:p>
      <w:r>
        <w:rPr>
          <w:color w:val="6B7280"/>
          <w:sz w:val="17"/>
        </w:rPr>
        <w:t>Endpoint counts are approximate leadership indicators from the current update. Enrollment is represented as E2E flow units because final endpoint scope is still expanding.</w:t>
      </w:r>
    </w:p>
    <w:p>
      <w:pPr>
        <w:jc w:val="center"/>
      </w:pPr>
      <w:r>
        <w:drawing>
          <wp:inline xmlns:a="http://schemas.openxmlformats.org/drawingml/2006/main" xmlns:pic="http://schemas.openxmlformats.org/drawingml/2006/picture">
            <wp:extent cx="6309360" cy="2604445"/>
            <wp:docPr id="2" name="Picture 2"/>
            <wp:cNvGraphicFramePr>
              <a:graphicFrameLocks noChangeAspect="1"/>
            </wp:cNvGraphicFramePr>
            <a:graphic>
              <a:graphicData uri="http://schemas.openxmlformats.org/drawingml/2006/picture">
                <pic:pic>
                  <pic:nvPicPr>
                    <pic:cNvPr id="0" name="endpoint_coverage.png"/>
                    <pic:cNvPicPr/>
                  </pic:nvPicPr>
                  <pic:blipFill>
                    <a:blip r:embed="rId10"/>
                    <a:stretch>
                      <a:fillRect/>
                    </a:stretch>
                  </pic:blipFill>
                  <pic:spPr>
                    <a:xfrm>
                      <a:off x="0" y="0"/>
                      <a:ext cx="6309360" cy="2604445"/>
                    </a:xfrm>
                    <a:prstGeom prst="rect"/>
                  </pic:spPr>
                </pic:pic>
              </a:graphicData>
            </a:graphic>
          </wp:inline>
        </w:drawing>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1656"/>
            <w:vAlign w:val="center"/>
            <w:shd w:fill="1F4E79"/>
            <w:tcMar>
              <w:top w:w="115" w:type="dxa"/>
              <w:start w:w="130" w:type="dxa"/>
              <w:bottom w:w="115" w:type="dxa"/>
              <w:end w:w="130" w:type="dxa"/>
            </w:tcMar>
          </w:tcPr>
          <w:p>
            <w:pPr>
              <w:jc w:val="center"/>
            </w:pPr>
            <w:r/>
            <w:r>
              <w:rPr>
                <w:rFonts w:ascii="Aptos" w:hAnsi="Aptos"/>
                <w:b/>
                <w:color w:val="FFFFFF"/>
                <w:sz w:val="16"/>
              </w:rPr>
              <w:t>Area</w:t>
            </w:r>
          </w:p>
        </w:tc>
        <w:tc>
          <w:tcPr>
            <w:tcW w:type="dxa" w:w="1944"/>
            <w:vAlign w:val="center"/>
            <w:shd w:fill="1F4E79"/>
            <w:tcMar>
              <w:top w:w="115" w:type="dxa"/>
              <w:start w:w="130" w:type="dxa"/>
              <w:bottom w:w="115" w:type="dxa"/>
              <w:end w:w="130" w:type="dxa"/>
            </w:tcMar>
          </w:tcPr>
          <w:p>
            <w:pPr>
              <w:jc w:val="center"/>
            </w:pPr>
            <w:r/>
            <w:r>
              <w:rPr>
                <w:rFonts w:ascii="Aptos" w:hAnsi="Aptos"/>
                <w:b/>
                <w:color w:val="FFFFFF"/>
                <w:sz w:val="16"/>
              </w:rPr>
              <w:t>Scope</w:t>
            </w:r>
          </w:p>
        </w:tc>
        <w:tc>
          <w:tcPr>
            <w:tcW w:type="dxa" w:w="1800"/>
            <w:vAlign w:val="center"/>
            <w:shd w:fill="1F4E79"/>
            <w:tcMar>
              <w:top w:w="115" w:type="dxa"/>
              <w:start w:w="130" w:type="dxa"/>
              <w:bottom w:w="115" w:type="dxa"/>
              <w:end w:w="130" w:type="dxa"/>
            </w:tcMar>
          </w:tcPr>
          <w:p>
            <w:pPr>
              <w:jc w:val="center"/>
            </w:pPr>
            <w:r/>
            <w:r>
              <w:rPr>
                <w:rFonts w:ascii="Aptos" w:hAnsi="Aptos"/>
                <w:b/>
                <w:color w:val="FFFFFF"/>
                <w:sz w:val="16"/>
              </w:rPr>
              <w:t>Automated / ready</w:t>
            </w:r>
          </w:p>
        </w:tc>
        <w:tc>
          <w:tcPr>
            <w:tcW w:type="dxa" w:w="1224"/>
            <w:vAlign w:val="center"/>
            <w:shd w:fill="1F4E79"/>
            <w:tcMar>
              <w:top w:w="115" w:type="dxa"/>
              <w:start w:w="130" w:type="dxa"/>
              <w:bottom w:w="115" w:type="dxa"/>
              <w:end w:w="130" w:type="dxa"/>
            </w:tcMar>
          </w:tcPr>
          <w:p>
            <w:pPr>
              <w:jc w:val="center"/>
            </w:pPr>
            <w:r/>
            <w:r>
              <w:rPr>
                <w:rFonts w:ascii="Aptos" w:hAnsi="Aptos"/>
                <w:b/>
                <w:color w:val="FFFFFF"/>
                <w:sz w:val="16"/>
              </w:rPr>
              <w:t>Approx.</w:t>
            </w:r>
          </w:p>
        </w:tc>
        <w:tc>
          <w:tcPr>
            <w:tcW w:type="dxa" w:w="4320"/>
            <w:vAlign w:val="center"/>
            <w:shd w:fill="1F4E79"/>
            <w:tcMar>
              <w:top w:w="115" w:type="dxa"/>
              <w:start w:w="130" w:type="dxa"/>
              <w:bottom w:w="115" w:type="dxa"/>
              <w:end w:w="130" w:type="dxa"/>
            </w:tcMar>
          </w:tcPr>
          <w:p>
            <w:pPr>
              <w:jc w:val="center"/>
            </w:pPr>
            <w:r/>
            <w:r>
              <w:rPr>
                <w:rFonts w:ascii="Aptos" w:hAnsi="Aptos"/>
                <w:b/>
                <w:color w:val="FFFFFF"/>
                <w:sz w:val="16"/>
              </w:rPr>
              <w:t>Available today?</w:t>
            </w:r>
          </w:p>
        </w:tc>
      </w:tr>
      <w:tr>
        <w:tc>
          <w:tcPr>
            <w:tcW w:type="dxa" w:w="1656"/>
            <w:vAlign w:val="center"/>
            <w:tcMar>
              <w:top w:w="115" w:type="dxa"/>
              <w:start w:w="130" w:type="dxa"/>
              <w:bottom w:w="115" w:type="dxa"/>
              <w:end w:w="130" w:type="dxa"/>
            </w:tcMar>
          </w:tcPr>
          <w:p>
            <w:r/>
            <w:r>
              <w:rPr>
                <w:rFonts w:ascii="Aptos" w:hAnsi="Aptos"/>
                <w:b/>
                <w:sz w:val="16"/>
              </w:rPr>
              <w:t>Mobile 2</w:t>
            </w:r>
          </w:p>
        </w:tc>
        <w:tc>
          <w:tcPr>
            <w:tcW w:type="dxa" w:w="1944"/>
            <w:vAlign w:val="center"/>
            <w:tcMar>
              <w:top w:w="115" w:type="dxa"/>
              <w:start w:w="130" w:type="dxa"/>
              <w:bottom w:w="115" w:type="dxa"/>
              <w:end w:w="130" w:type="dxa"/>
            </w:tcMar>
          </w:tcPr>
          <w:p>
            <w:r/>
            <w:r>
              <w:rPr>
                <w:rFonts w:ascii="Aptos" w:hAnsi="Aptos"/>
                <w:b w:val="0"/>
                <w:sz w:val="16"/>
              </w:rPr>
              <w:t>25 business APIs</w:t>
            </w:r>
          </w:p>
        </w:tc>
        <w:tc>
          <w:tcPr>
            <w:tcW w:type="dxa" w:w="1800"/>
            <w:vAlign w:val="center"/>
            <w:tcMar>
              <w:top w:w="115" w:type="dxa"/>
              <w:start w:w="130" w:type="dxa"/>
              <w:bottom w:w="115" w:type="dxa"/>
              <w:end w:w="130" w:type="dxa"/>
            </w:tcMar>
          </w:tcPr>
          <w:p>
            <w:r/>
            <w:r>
              <w:rPr>
                <w:rFonts w:ascii="Aptos" w:hAnsi="Aptos"/>
                <w:b w:val="0"/>
                <w:sz w:val="16"/>
              </w:rPr>
              <w:t>25</w:t>
            </w:r>
          </w:p>
        </w:tc>
        <w:tc>
          <w:tcPr>
            <w:tcW w:type="dxa" w:w="1224"/>
            <w:vAlign w:val="center"/>
            <w:tcMar>
              <w:top w:w="115" w:type="dxa"/>
              <w:start w:w="130" w:type="dxa"/>
              <w:bottom w:w="115" w:type="dxa"/>
              <w:end w:w="130" w:type="dxa"/>
            </w:tcMar>
            <w:shd w:fill="E5F3E8"/>
          </w:tcPr>
          <w:p>
            <w:r/>
            <w:r>
              <w:rPr>
                <w:rFonts w:ascii="Aptos" w:hAnsi="Aptos"/>
                <w:b w:val="0"/>
                <w:sz w:val="16"/>
              </w:rPr>
              <w:t>100%</w:t>
            </w:r>
          </w:p>
        </w:tc>
        <w:tc>
          <w:tcPr>
            <w:tcW w:type="dxa" w:w="4320"/>
            <w:vAlign w:val="center"/>
            <w:tcMar>
              <w:top w:w="115" w:type="dxa"/>
              <w:start w:w="130" w:type="dxa"/>
              <w:bottom w:w="115" w:type="dxa"/>
              <w:end w:w="130" w:type="dxa"/>
            </w:tcMar>
          </w:tcPr>
          <w:p>
            <w:r/>
            <w:r>
              <w:rPr>
                <w:rFonts w:ascii="Aptos" w:hAnsi="Aptos"/>
                <w:b w:val="0"/>
                <w:sz w:val="16"/>
              </w:rPr>
              <w:t>Yes - master integration + regression suites</w:t>
            </w:r>
          </w:p>
        </w:tc>
      </w:tr>
      <w:tr>
        <w:tc>
          <w:tcPr>
            <w:tcW w:type="dxa" w:w="1656"/>
            <w:vAlign w:val="center"/>
            <w:tcMar>
              <w:top w:w="115" w:type="dxa"/>
              <w:start w:w="130" w:type="dxa"/>
              <w:bottom w:w="115" w:type="dxa"/>
              <w:end w:w="130" w:type="dxa"/>
            </w:tcMar>
          </w:tcPr>
          <w:p>
            <w:r/>
            <w:r>
              <w:rPr>
                <w:rFonts w:ascii="Aptos" w:hAnsi="Aptos"/>
                <w:b/>
                <w:sz w:val="16"/>
              </w:rPr>
              <w:t>Mobile 1</w:t>
            </w:r>
          </w:p>
        </w:tc>
        <w:tc>
          <w:tcPr>
            <w:tcW w:type="dxa" w:w="1944"/>
            <w:vAlign w:val="center"/>
            <w:tcMar>
              <w:top w:w="115" w:type="dxa"/>
              <w:start w:w="130" w:type="dxa"/>
              <w:bottom w:w="115" w:type="dxa"/>
              <w:end w:w="130" w:type="dxa"/>
            </w:tcMar>
          </w:tcPr>
          <w:p>
            <w:r/>
            <w:r>
              <w:rPr>
                <w:rFonts w:ascii="Aptos" w:hAnsi="Aptos"/>
                <w:b w:val="0"/>
                <w:sz w:val="16"/>
              </w:rPr>
              <w:t>~29 core APIs</w:t>
            </w:r>
          </w:p>
        </w:tc>
        <w:tc>
          <w:tcPr>
            <w:tcW w:type="dxa" w:w="1800"/>
            <w:vAlign w:val="center"/>
            <w:tcMar>
              <w:top w:w="115" w:type="dxa"/>
              <w:start w:w="130" w:type="dxa"/>
              <w:bottom w:w="115" w:type="dxa"/>
              <w:end w:w="130" w:type="dxa"/>
            </w:tcMar>
          </w:tcPr>
          <w:p>
            <w:r/>
            <w:r>
              <w:rPr>
                <w:rFonts w:ascii="Aptos" w:hAnsi="Aptos"/>
                <w:b w:val="0"/>
                <w:sz w:val="16"/>
              </w:rPr>
              <w:t>~26</w:t>
            </w:r>
          </w:p>
        </w:tc>
        <w:tc>
          <w:tcPr>
            <w:tcW w:type="dxa" w:w="1224"/>
            <w:vAlign w:val="center"/>
            <w:tcMar>
              <w:top w:w="115" w:type="dxa"/>
              <w:start w:w="130" w:type="dxa"/>
              <w:bottom w:w="115" w:type="dxa"/>
              <w:end w:w="130" w:type="dxa"/>
            </w:tcMar>
            <w:shd w:fill="E5F3E8"/>
          </w:tcPr>
          <w:p>
            <w:r/>
            <w:r>
              <w:rPr>
                <w:rFonts w:ascii="Aptos" w:hAnsi="Aptos"/>
                <w:b w:val="0"/>
                <w:sz w:val="16"/>
              </w:rPr>
              <w:t>~90%</w:t>
            </w:r>
          </w:p>
        </w:tc>
        <w:tc>
          <w:tcPr>
            <w:tcW w:type="dxa" w:w="4320"/>
            <w:vAlign w:val="center"/>
            <w:tcMar>
              <w:top w:w="115" w:type="dxa"/>
              <w:start w:w="130" w:type="dxa"/>
              <w:bottom w:w="115" w:type="dxa"/>
              <w:end w:w="130" w:type="dxa"/>
            </w:tcMar>
          </w:tcPr>
          <w:p>
            <w:r/>
            <w:r>
              <w:rPr>
                <w:rFonts w:ascii="Aptos" w:hAnsi="Aptos"/>
                <w:b w:val="0"/>
                <w:sz w:val="16"/>
              </w:rPr>
              <w:t>Yes - module suites; minor gaps under review</w:t>
            </w:r>
          </w:p>
        </w:tc>
      </w:tr>
      <w:tr>
        <w:tc>
          <w:tcPr>
            <w:tcW w:type="dxa" w:w="1656"/>
            <w:vAlign w:val="center"/>
            <w:tcMar>
              <w:top w:w="115" w:type="dxa"/>
              <w:start w:w="130" w:type="dxa"/>
              <w:bottom w:w="115" w:type="dxa"/>
              <w:end w:w="130" w:type="dxa"/>
            </w:tcMar>
          </w:tcPr>
          <w:p>
            <w:r/>
            <w:r>
              <w:rPr>
                <w:rFonts w:ascii="Aptos" w:hAnsi="Aptos"/>
                <w:b/>
                <w:sz w:val="16"/>
              </w:rPr>
              <w:t>Enrollment</w:t>
            </w:r>
          </w:p>
        </w:tc>
        <w:tc>
          <w:tcPr>
            <w:tcW w:type="dxa" w:w="1944"/>
            <w:vAlign w:val="center"/>
            <w:tcMar>
              <w:top w:w="115" w:type="dxa"/>
              <w:start w:w="130" w:type="dxa"/>
              <w:bottom w:w="115" w:type="dxa"/>
              <w:end w:w="130" w:type="dxa"/>
            </w:tcMar>
          </w:tcPr>
          <w:p>
            <w:r/>
            <w:r>
              <w:rPr>
                <w:rFonts w:ascii="Aptos" w:hAnsi="Aptos"/>
                <w:b w:val="0"/>
                <w:sz w:val="16"/>
              </w:rPr>
              <w:t>~13-step E2E flow</w:t>
            </w:r>
          </w:p>
        </w:tc>
        <w:tc>
          <w:tcPr>
            <w:tcW w:type="dxa" w:w="1800"/>
            <w:vAlign w:val="center"/>
            <w:tcMar>
              <w:top w:w="115" w:type="dxa"/>
              <w:start w:w="130" w:type="dxa"/>
              <w:bottom w:w="115" w:type="dxa"/>
              <w:end w:w="130" w:type="dxa"/>
            </w:tcMar>
          </w:tcPr>
          <w:p>
            <w:r/>
            <w:r>
              <w:rPr>
                <w:rFonts w:ascii="Aptos" w:hAnsi="Aptos"/>
                <w:b w:val="0"/>
                <w:sz w:val="16"/>
              </w:rPr>
              <w:t>In progress</w:t>
            </w:r>
          </w:p>
        </w:tc>
        <w:tc>
          <w:tcPr>
            <w:tcW w:type="dxa" w:w="1224"/>
            <w:vAlign w:val="center"/>
            <w:tcMar>
              <w:top w:w="115" w:type="dxa"/>
              <w:start w:w="130" w:type="dxa"/>
              <w:bottom w:w="115" w:type="dxa"/>
              <w:end w:w="130" w:type="dxa"/>
            </w:tcMar>
            <w:shd w:fill="FFF4CC"/>
          </w:tcPr>
          <w:p>
            <w:r/>
            <w:r>
              <w:rPr>
                <w:rFonts w:ascii="Aptos" w:hAnsi="Aptos"/>
                <w:b w:val="0"/>
                <w:sz w:val="16"/>
              </w:rPr>
              <w:t>~15%</w:t>
            </w:r>
          </w:p>
        </w:tc>
        <w:tc>
          <w:tcPr>
            <w:tcW w:type="dxa" w:w="4320"/>
            <w:vAlign w:val="center"/>
            <w:tcMar>
              <w:top w:w="115" w:type="dxa"/>
              <w:start w:w="130" w:type="dxa"/>
              <w:bottom w:w="115" w:type="dxa"/>
              <w:end w:w="130" w:type="dxa"/>
            </w:tcMar>
          </w:tcPr>
          <w:p>
            <w:r/>
            <w:r>
              <w:rPr>
                <w:rFonts w:ascii="Aptos" w:hAnsi="Aptos"/>
                <w:b w:val="0"/>
                <w:sz w:val="16"/>
              </w:rPr>
              <w:t>Docs + Postman ready; automation vertical slice in progress</w:t>
            </w:r>
          </w:p>
        </w:tc>
      </w:tr>
    </w:tbl>
    <w:tbl>
      <w:tblPr>
        <w:tblW w:type="auto" w:w="0"/>
        <w:jc w:val="center"/>
        <w:tblLook w:firstColumn="1" w:firstRow="1" w:lastColumn="0" w:lastRow="0" w:noHBand="0" w:noVBand="1" w:val="04A0"/>
      </w:tblPr>
      <w:tblGrid>
        <w:gridCol w:w="10454"/>
      </w:tblGrid>
      <w:tr>
        <w:tc>
          <w:tcPr>
            <w:tcW w:type="dxa" w:w="10454"/>
            <w:shd w:fill="F3F4F6"/>
            <w:tcMar>
              <w:top w:w="160" w:type="dxa"/>
              <w:start w:w="220" w:type="dxa"/>
              <w:bottom w:w="160" w:type="dxa"/>
              <w:end w:w="220" w:type="dxa"/>
            </w:tcMar>
          </w:tcPr>
          <w:p>
            <w:r/>
            <w:r>
              <w:rPr>
                <w:b/>
                <w:color w:val="1F4E79"/>
                <w:sz w:val="20"/>
              </w:rPr>
              <w:t xml:space="preserve">What is available today: </w:t>
            </w:r>
            <w:r>
              <w:rPr>
                <w:color w:val="111827"/>
                <w:sz w:val="18"/>
              </w:rPr>
              <w:t>Mobile 2 is complete and ready for sign-off / ongoing use. Mobile 1 is effectively complete with only minor gap review remaining. Enrollment is now the active delivery focus, and pipeline wiring is moving in parallel.</w:t>
            </w:r>
          </w:p>
        </w:tc>
      </w:tr>
    </w:tbl>
    <w:p>
      <w:r>
        <w:br w:type="page"/>
      </w:r>
    </w:p>
    <w:p>
      <w:pPr>
        <w:pStyle w:val="Heading1"/>
      </w:pPr>
      <w:r>
        <w:t>3. Performance Testing Readiness</w:t>
      </w:r>
    </w:p>
    <w:p>
      <w:r>
        <w:rPr>
          <w:color w:val="6B7280"/>
          <w:sz w:val="17"/>
        </w:rPr>
        <w:t>Performance work is more difficult to summarize as a simple percent. The better executive view is scenario readiness: baseline complete, in progress, available but not scheduled, or still in research / prioritization.</w:t>
      </w:r>
    </w:p>
    <w:p>
      <w:pPr>
        <w:jc w:val="center"/>
      </w:pPr>
      <w:r>
        <w:drawing>
          <wp:inline xmlns:a="http://schemas.openxmlformats.org/drawingml/2006/main" xmlns:pic="http://schemas.openxmlformats.org/drawingml/2006/picture">
            <wp:extent cx="6309360" cy="2063137"/>
            <wp:docPr id="3" name="Picture 3"/>
            <wp:cNvGraphicFramePr>
              <a:graphicFrameLocks noChangeAspect="1"/>
            </wp:cNvGraphicFramePr>
            <a:graphic>
              <a:graphicData uri="http://schemas.openxmlformats.org/drawingml/2006/picture">
                <pic:pic>
                  <pic:nvPicPr>
                    <pic:cNvPr id="0" name="performance_readiness.png"/>
                    <pic:cNvPicPr/>
                  </pic:nvPicPr>
                  <pic:blipFill>
                    <a:blip r:embed="rId11"/>
                    <a:stretch>
                      <a:fillRect/>
                    </a:stretch>
                  </pic:blipFill>
                  <pic:spPr>
                    <a:xfrm>
                      <a:off x="0" y="0"/>
                      <a:ext cx="6309360" cy="2063137"/>
                    </a:xfrm>
                    <a:prstGeom prst="rect"/>
                  </pic:spPr>
                </pic:pic>
              </a:graphicData>
            </a:graphic>
          </wp:inline>
        </w:drawing>
      </w:r>
    </w:p>
    <w:tbl>
      <w:tblPr>
        <w:tblStyle w:val="TableGrid"/>
        <w:tblW w:type="auto" w:w="0"/>
        <w:jc w:val="center"/>
        <w:tblLook w:firstColumn="1" w:firstRow="1" w:lastColumn="0" w:lastRow="0" w:noHBand="0" w:noVBand="1" w:val="04A0"/>
      </w:tblPr>
      <w:tblGrid>
        <w:gridCol w:w="3485"/>
        <w:gridCol w:w="3485"/>
        <w:gridCol w:w="3485"/>
      </w:tblGrid>
      <w:tr>
        <w:tc>
          <w:tcPr>
            <w:tcW w:type="dxa" w:w="2952"/>
            <w:vAlign w:val="center"/>
            <w:shd w:fill="1F4E79"/>
            <w:tcMar>
              <w:top w:w="115" w:type="dxa"/>
              <w:start w:w="130" w:type="dxa"/>
              <w:bottom w:w="115" w:type="dxa"/>
              <w:end w:w="130" w:type="dxa"/>
            </w:tcMar>
          </w:tcPr>
          <w:p>
            <w:pPr>
              <w:jc w:val="center"/>
            </w:pPr>
            <w:r/>
            <w:r>
              <w:rPr>
                <w:rFonts w:ascii="Aptos" w:hAnsi="Aptos"/>
                <w:b/>
                <w:color w:val="FFFFFF"/>
                <w:sz w:val="16"/>
              </w:rPr>
              <w:t>Scenario</w:t>
            </w:r>
          </w:p>
        </w:tc>
        <w:tc>
          <w:tcPr>
            <w:tcW w:type="dxa" w:w="2232"/>
            <w:vAlign w:val="center"/>
            <w:shd w:fill="1F4E79"/>
            <w:tcMar>
              <w:top w:w="115" w:type="dxa"/>
              <w:start w:w="130" w:type="dxa"/>
              <w:bottom w:w="115" w:type="dxa"/>
              <w:end w:w="130" w:type="dxa"/>
            </w:tcMar>
          </w:tcPr>
          <w:p>
            <w:pPr>
              <w:jc w:val="center"/>
            </w:pPr>
            <w:r/>
            <w:r>
              <w:rPr>
                <w:rFonts w:ascii="Aptos" w:hAnsi="Aptos"/>
                <w:b/>
                <w:color w:val="FFFFFF"/>
                <w:sz w:val="16"/>
              </w:rPr>
              <w:t>Current status</w:t>
            </w:r>
          </w:p>
        </w:tc>
        <w:tc>
          <w:tcPr>
            <w:tcW w:type="dxa" w:w="5904"/>
            <w:vAlign w:val="center"/>
            <w:shd w:fill="1F4E79"/>
            <w:tcMar>
              <w:top w:w="115" w:type="dxa"/>
              <w:start w:w="130" w:type="dxa"/>
              <w:bottom w:w="115" w:type="dxa"/>
              <w:end w:w="130" w:type="dxa"/>
            </w:tcMar>
          </w:tcPr>
          <w:p>
            <w:pPr>
              <w:jc w:val="center"/>
            </w:pPr>
            <w:r/>
            <w:r>
              <w:rPr>
                <w:rFonts w:ascii="Aptos" w:hAnsi="Aptos"/>
                <w:b/>
                <w:color w:val="FFFFFF"/>
                <w:sz w:val="16"/>
              </w:rPr>
              <w:t>Leadership-friendly interpretation</w:t>
            </w:r>
          </w:p>
        </w:tc>
      </w:tr>
      <w:tr>
        <w:tc>
          <w:tcPr>
            <w:tcW w:type="dxa" w:w="2952"/>
            <w:vAlign w:val="center"/>
            <w:tcMar>
              <w:top w:w="115" w:type="dxa"/>
              <w:start w:w="130" w:type="dxa"/>
              <w:bottom w:w="115" w:type="dxa"/>
              <w:end w:w="130" w:type="dxa"/>
            </w:tcMar>
          </w:tcPr>
          <w:p>
            <w:r/>
            <w:r>
              <w:rPr>
                <w:rFonts w:ascii="Aptos" w:hAnsi="Aptos"/>
                <w:b/>
                <w:sz w:val="16"/>
              </w:rPr>
              <w:t>MSC Non-IDP Login -&gt; Dashboard</w:t>
            </w:r>
          </w:p>
        </w:tc>
        <w:tc>
          <w:tcPr>
            <w:tcW w:type="dxa" w:w="2232"/>
            <w:vAlign w:val="center"/>
            <w:tcMar>
              <w:top w:w="115" w:type="dxa"/>
              <w:start w:w="130" w:type="dxa"/>
              <w:bottom w:w="115" w:type="dxa"/>
              <w:end w:w="130" w:type="dxa"/>
            </w:tcMar>
            <w:shd w:fill="E5F3E8"/>
          </w:tcPr>
          <w:p>
            <w:r/>
            <w:r>
              <w:rPr>
                <w:rFonts w:ascii="Aptos" w:hAnsi="Aptos"/>
                <w:b w:val="0"/>
                <w:sz w:val="16"/>
              </w:rPr>
              <w:t>Baseline complete</w:t>
            </w:r>
          </w:p>
        </w:tc>
        <w:tc>
          <w:tcPr>
            <w:tcW w:type="dxa" w:w="5904"/>
            <w:vAlign w:val="center"/>
            <w:tcMar>
              <w:top w:w="115" w:type="dxa"/>
              <w:start w:w="130" w:type="dxa"/>
              <w:bottom w:w="115" w:type="dxa"/>
              <w:end w:w="130" w:type="dxa"/>
            </w:tcMar>
          </w:tcPr>
          <w:p>
            <w:r/>
            <w:r>
              <w:rPr>
                <w:rFonts w:ascii="Aptos" w:hAnsi="Aptos"/>
                <w:b w:val="0"/>
                <w:sz w:val="16"/>
              </w:rPr>
              <w:t>First MSC baseline is available and can be used for trend comparison.</w:t>
            </w:r>
          </w:p>
        </w:tc>
      </w:tr>
      <w:tr>
        <w:tc>
          <w:tcPr>
            <w:tcW w:type="dxa" w:w="2952"/>
            <w:vAlign w:val="center"/>
            <w:tcMar>
              <w:top w:w="115" w:type="dxa"/>
              <w:start w:w="130" w:type="dxa"/>
              <w:bottom w:w="115" w:type="dxa"/>
              <w:end w:w="130" w:type="dxa"/>
            </w:tcMar>
          </w:tcPr>
          <w:p>
            <w:r/>
            <w:r>
              <w:rPr>
                <w:rFonts w:ascii="Aptos" w:hAnsi="Aptos"/>
                <w:b/>
                <w:sz w:val="16"/>
              </w:rPr>
              <w:t>MSC IDP Login</w:t>
            </w:r>
          </w:p>
        </w:tc>
        <w:tc>
          <w:tcPr>
            <w:tcW w:type="dxa" w:w="2232"/>
            <w:vAlign w:val="center"/>
            <w:tcMar>
              <w:top w:w="115" w:type="dxa"/>
              <w:start w:w="130" w:type="dxa"/>
              <w:bottom w:w="115" w:type="dxa"/>
              <w:end w:w="130" w:type="dxa"/>
            </w:tcMar>
            <w:shd w:fill="FFF4CC"/>
          </w:tcPr>
          <w:p>
            <w:r/>
            <w:r>
              <w:rPr>
                <w:rFonts w:ascii="Aptos" w:hAnsi="Aptos"/>
                <w:b w:val="0"/>
                <w:sz w:val="16"/>
              </w:rPr>
              <w:t>In progress</w:t>
            </w:r>
          </w:p>
        </w:tc>
        <w:tc>
          <w:tcPr>
            <w:tcW w:type="dxa" w:w="5904"/>
            <w:vAlign w:val="center"/>
            <w:tcMar>
              <w:top w:w="115" w:type="dxa"/>
              <w:start w:w="130" w:type="dxa"/>
              <w:bottom w:w="115" w:type="dxa"/>
              <w:end w:w="130" w:type="dxa"/>
            </w:tcMar>
          </w:tcPr>
          <w:p>
            <w:r/>
            <w:r>
              <w:rPr>
                <w:rFonts w:ascii="Aptos" w:hAnsi="Aptos"/>
                <w:b w:val="0"/>
                <w:sz w:val="16"/>
              </w:rPr>
              <w:t>Needs final stabilization before it becomes a reliable scheduled regression item.</w:t>
            </w:r>
          </w:p>
        </w:tc>
      </w:tr>
      <w:tr>
        <w:tc>
          <w:tcPr>
            <w:tcW w:type="dxa" w:w="2952"/>
            <w:vAlign w:val="center"/>
            <w:tcMar>
              <w:top w:w="115" w:type="dxa"/>
              <w:start w:w="130" w:type="dxa"/>
              <w:bottom w:w="115" w:type="dxa"/>
              <w:end w:w="130" w:type="dxa"/>
            </w:tcMar>
          </w:tcPr>
          <w:p>
            <w:r/>
            <w:r>
              <w:rPr>
                <w:rFonts w:ascii="Aptos" w:hAnsi="Aptos"/>
                <w:b/>
                <w:sz w:val="16"/>
              </w:rPr>
              <w:t>MSC Core GET Endpoints</w:t>
            </w:r>
          </w:p>
        </w:tc>
        <w:tc>
          <w:tcPr>
            <w:tcW w:type="dxa" w:w="2232"/>
            <w:vAlign w:val="center"/>
            <w:tcMar>
              <w:top w:w="115" w:type="dxa"/>
              <w:start w:w="130" w:type="dxa"/>
              <w:bottom w:w="115" w:type="dxa"/>
              <w:end w:w="130" w:type="dxa"/>
            </w:tcMar>
            <w:shd w:fill="FCE4D6"/>
          </w:tcPr>
          <w:p>
            <w:r/>
            <w:r>
              <w:rPr>
                <w:rFonts w:ascii="Aptos" w:hAnsi="Aptos"/>
                <w:b w:val="0"/>
                <w:sz w:val="16"/>
              </w:rPr>
              <w:t>In repo, not scheduled</w:t>
            </w:r>
          </w:p>
        </w:tc>
        <w:tc>
          <w:tcPr>
            <w:tcW w:type="dxa" w:w="5904"/>
            <w:vAlign w:val="center"/>
            <w:tcMar>
              <w:top w:w="115" w:type="dxa"/>
              <w:start w:w="130" w:type="dxa"/>
              <w:bottom w:w="115" w:type="dxa"/>
              <w:end w:w="130" w:type="dxa"/>
            </w:tcMar>
          </w:tcPr>
          <w:p>
            <w:r/>
            <w:r>
              <w:rPr>
                <w:rFonts w:ascii="Aptos" w:hAnsi="Aptos"/>
                <w:b w:val="0"/>
                <w:sz w:val="16"/>
              </w:rPr>
              <w:t>Available as implementation work, but not yet part of the regression rhythm.</w:t>
            </w:r>
          </w:p>
        </w:tc>
      </w:tr>
      <w:tr>
        <w:tc>
          <w:tcPr>
            <w:tcW w:type="dxa" w:w="2952"/>
            <w:vAlign w:val="center"/>
            <w:tcMar>
              <w:top w:w="115" w:type="dxa"/>
              <w:start w:w="130" w:type="dxa"/>
              <w:bottom w:w="115" w:type="dxa"/>
              <w:end w:w="130" w:type="dxa"/>
            </w:tcMar>
          </w:tcPr>
          <w:p>
            <w:r/>
            <w:r>
              <w:rPr>
                <w:rFonts w:ascii="Aptos" w:hAnsi="Aptos"/>
                <w:b/>
                <w:sz w:val="16"/>
              </w:rPr>
              <w:t>Broader performance coverage</w:t>
            </w:r>
          </w:p>
        </w:tc>
        <w:tc>
          <w:tcPr>
            <w:tcW w:type="dxa" w:w="2232"/>
            <w:vAlign w:val="center"/>
            <w:tcMar>
              <w:top w:w="115" w:type="dxa"/>
              <w:start w:w="130" w:type="dxa"/>
              <w:bottom w:w="115" w:type="dxa"/>
              <w:end w:w="130" w:type="dxa"/>
            </w:tcMar>
            <w:shd w:fill="FCE4D6"/>
          </w:tcPr>
          <w:p>
            <w:r/>
            <w:r>
              <w:rPr>
                <w:rFonts w:ascii="Aptos" w:hAnsi="Aptos"/>
                <w:b w:val="0"/>
                <w:sz w:val="16"/>
              </w:rPr>
              <w:t>Research / prioritization</w:t>
            </w:r>
          </w:p>
        </w:tc>
        <w:tc>
          <w:tcPr>
            <w:tcW w:type="dxa" w:w="5904"/>
            <w:vAlign w:val="center"/>
            <w:tcMar>
              <w:top w:w="115" w:type="dxa"/>
              <w:start w:w="130" w:type="dxa"/>
              <w:bottom w:w="115" w:type="dxa"/>
              <w:end w:w="130" w:type="dxa"/>
            </w:tcMar>
          </w:tcPr>
          <w:p>
            <w:r/>
            <w:r>
              <w:rPr>
                <w:rFonts w:ascii="Aptos" w:hAnsi="Aptos"/>
                <w:b w:val="0"/>
                <w:sz w:val="16"/>
              </w:rPr>
              <w:t>Requires test-data prep, baseline analysis, and clean repeatable runs before scheduling.</w:t>
            </w:r>
          </w:p>
        </w:tc>
      </w:tr>
    </w:tbl>
    <w:p>
      <w:pPr>
        <w:pStyle w:val="Heading1"/>
      </w:pPr>
      <w:r>
        <w:t>Suggested Note to Send</w:t>
      </w:r>
    </w:p>
    <w:tbl>
      <w:tblPr>
        <w:tblW w:type="auto" w:w="0"/>
        <w:jc w:val="center"/>
        <w:tblLook w:firstColumn="1" w:firstRow="1" w:lastColumn="0" w:lastRow="0" w:noHBand="0" w:noVBand="1" w:val="04A0"/>
      </w:tblPr>
      <w:tblGrid>
        <w:gridCol w:w="10454"/>
      </w:tblGrid>
      <w:tr>
        <w:tc>
          <w:tcPr>
            <w:tcW w:type="dxa" w:w="10454"/>
            <w:shd w:fill="F3F4F6"/>
            <w:tcMar>
              <w:top w:w="160" w:type="dxa"/>
              <w:start w:w="220" w:type="dxa"/>
              <w:bottom w:w="160" w:type="dxa"/>
              <w:end w:w="220" w:type="dxa"/>
            </w:tcMar>
          </w:tcPr>
          <w:p>
            <w:r/>
            <w:r>
              <w:rPr>
                <w:rFonts w:ascii="Aptos" w:hAnsi="Aptos"/>
                <w:color w:val="111827"/>
                <w:sz w:val="17"/>
              </w:rPr>
              <w:t>Hi Kevin,</w:t>
            </w:r>
            <w:r>
              <w:br/>
            </w:r>
            <w:r>
              <w:br/>
            </w:r>
            <w:r>
              <w:rPr>
                <w:rFonts w:ascii="Aptos" w:hAnsi="Aptos"/>
                <w:color w:val="111827"/>
                <w:sz w:val="17"/>
              </w:rPr>
              <w:t>Here is the high-level Unite MSC / NRTMC automation status. Mobile 2 is complete, Mobile 1 is effectively complete at roughly 90%, and the team is now focused on Enrollment plus the remaining pipeline wiring.</w:t>
            </w:r>
            <w:r>
              <w:br/>
            </w:r>
            <w:r>
              <w:br/>
            </w:r>
            <w:r>
              <w:rPr>
                <w:rFonts w:ascii="Aptos" w:hAnsi="Aptos"/>
                <w:color w:val="111827"/>
                <w:sz w:val="17"/>
              </w:rPr>
              <w:t>For what is available today, Mobile 2 is ready for sign-off / ongoing regression use and Mobile 1 has the major core flows in place with only minor gap review remaining. Enrollment is active, with the first end-to-end vertical slice as the current delivery focus.</w:t>
            </w:r>
            <w:r>
              <w:br/>
            </w:r>
            <w:r>
              <w:br/>
            </w:r>
            <w:r>
              <w:rPr>
                <w:rFonts w:ascii="Aptos" w:hAnsi="Aptos"/>
                <w:color w:val="111827"/>
                <w:sz w:val="17"/>
              </w:rPr>
              <w:t>Performance is progressing, but I would position it separately because performance cases need research, stable data, baseline validation, and clean repeatable runs before they become scheduled regression items. The MSC Non-IDP baseline is complete, MSC IDP is in progress, and core GET endpoint scripts are available but not yet scheduled.</w:t>
            </w:r>
            <w:r>
              <w:br/>
            </w:r>
            <w:r>
              <w:br/>
            </w:r>
            <w:r>
              <w:rPr>
                <w:rFonts w:ascii="Aptos" w:hAnsi="Aptos"/>
                <w:color w:val="111827"/>
                <w:sz w:val="17"/>
              </w:rPr>
              <w:t>Thanks,</w:t>
            </w:r>
            <w:r>
              <w:br/>
            </w:r>
            <w:r>
              <w:rPr>
                <w:rFonts w:ascii="Aptos" w:hAnsi="Aptos"/>
                <w:color w:val="111827"/>
                <w:sz w:val="17"/>
              </w:rPr>
              <w:t>Swapnil</w:t>
            </w:r>
            <w:r>
              <w:br/>
            </w:r>
          </w:p>
        </w:tc>
      </w:tr>
    </w:tbl>
    <w:p>
      <w:pPr>
        <w:pStyle w:val="Heading1"/>
      </w:pPr>
      <w:r>
        <w:t>Source Basis and Guardrails</w:t>
      </w:r>
    </w:p>
    <w:p>
      <w:pPr>
        <w:pStyle w:val="ListBullet"/>
        <w:spacing w:after="20"/>
      </w:pPr>
      <w:r>
        <w:rPr>
          <w:rFonts w:ascii="Aptos" w:hAnsi="Aptos"/>
          <w:color w:val="111827"/>
          <w:sz w:val="16"/>
        </w:rPr>
        <w:t>Based on the attached 2026-08-07 Kevin status update: Mobile 2 100%, Mobile 1 ~90%, Enrollment active vertical slice, and pipeline work in progress.</w:t>
      </w:r>
    </w:p>
    <w:p>
      <w:pPr>
        <w:pStyle w:val="ListBullet"/>
        <w:spacing w:after="20"/>
      </w:pPr>
      <w:r>
        <w:rPr>
          <w:rFonts w:ascii="Aptos" w:hAnsi="Aptos"/>
          <w:color w:val="111827"/>
          <w:sz w:val="16"/>
        </w:rPr>
        <w:t>Based on the attached performance-testing notes: MSC Non-IDP baseline complete, MSC IDP in progress, MSC Core GET endpoints in repo but not scheduled.</w:t>
      </w:r>
    </w:p>
    <w:p>
      <w:pPr>
        <w:pStyle w:val="ListBullet"/>
        <w:spacing w:after="20"/>
      </w:pPr>
      <w:r>
        <w:rPr>
          <w:rFonts w:ascii="Aptos" w:hAnsi="Aptos"/>
          <w:color w:val="111827"/>
          <w:sz w:val="16"/>
        </w:rPr>
        <w:t>Visual percentages for Pipelines and Performance are leadership-readiness indicators, not formal source-code coverage or audited completion metrics.</w:t>
      </w:r>
    </w:p>
    <w:sectPr w:rsidR="00FC693F" w:rsidRPr="0006063C" w:rsidSect="00034616">
      <w:footerReference w:type="default" r:id="rId12"/>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QA Automation - Executive visual summary - August 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Swapnil Patil</dc:creator>
  <keywords/>
  <dc:description>generated by python-docx</dc:description>
  <lastModifiedBy>Swapnil Patil</lastModifiedBy>
  <revision>1</revision>
  <dcterms:created xsi:type="dcterms:W3CDTF">2026-08-07T12:57:19.1545247Z</dcterms:created>
  <dcterms:modified xsi:type="dcterms:W3CDTF">2026-08-07T12:57:19.1545247Z</dcterms:modified>
  <category/>
</coreProperties>
</file>