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Government Savings</w:t>
      </w:r>
    </w:p>
    <w:p>
      <w:pPr>
        <w:jc w:val="center"/>
      </w:pPr>
      <w:r>
        <w:rPr>
          <w:b/>
        </w:rPr>
        <w:t>Automation Coverage &amp; CI Integration Assessment</w:t>
      </w:r>
    </w:p>
    <w:p>
      <w:pPr>
        <w:jc w:val="center"/>
      </w:pPr>
      <w:r>
        <w:t>Assessment Date: July 20, 2026</w:t>
        <w:br/>
        <w:t>Rebuild validated: July 21, 2026</w:t>
      </w:r>
    </w:p>
    <w:p>
      <w:pPr>
        <w:pStyle w:val="Heading1"/>
      </w:pPr>
      <w:r>
        <w:t>Executive Summary</w:t>
      </w:r>
    </w:p>
    <w:p>
      <w:r>
        <w:t>Government Savings automation is organized by business platform and operational activation — what is implemented, what runs on recurring schedules, and what awaits reactivation. A single GS-wide coverage percentage is not defensible. Inventory-share metrics (e.g. V2/V3 TestNG or qTest populations) appear in the technical appendix only, not as functional completeness.</w:t>
      </w:r>
    </w:p>
    <w:p>
      <w:pPr>
        <w:pStyle w:val="Heading1"/>
      </w:pPr>
      <w:r>
        <w:t>Business Platform Coverage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Business area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Sub-area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Implementation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Scheduled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Confidence</w:t>
            </w:r>
          </w:p>
        </w:tc>
      </w:tr>
      <w:tr>
        <w:tc>
          <w:tcPr>
            <w:tcW w:type="dxa" w:w="1440"/>
          </w:tcPr>
          <w:p>
            <w:r>
              <w:t>Unite MSC</w:t>
            </w:r>
          </w:p>
        </w:tc>
        <w:tc>
          <w:tcPr>
            <w:tcW w:type="dxa" w:w="1440"/>
          </w:tcPr>
          <w:p>
            <w:r>
              <w:t>Mobile 2 API</w:t>
            </w:r>
          </w:p>
        </w:tc>
        <w:tc>
          <w:tcPr>
            <w:tcW w:type="dxa" w:w="1440"/>
          </w:tcPr>
          <w:p>
            <w:r>
              <w:t>Mobile 2 automation is complete for the currently defined automatable business scope; dest…</w:t>
            </w:r>
          </w:p>
        </w:tc>
        <w:tc>
          <w:tcPr>
            <w:tcW w:type="dxa" w:w="1440"/>
          </w:tcPr>
          <w:p>
            <w:r>
              <w:t>Complete for automatable scope</w:t>
            </w:r>
          </w:p>
        </w:tc>
        <w:tc>
          <w:tcPr>
            <w:tcW w:type="dxa" w:w="1440"/>
          </w:tcPr>
          <w:p>
            <w:r>
              <w:t>Not scheduled — QA-1405 pending</w:t>
            </w:r>
          </w:p>
        </w:tc>
        <w:tc>
          <w:tcPr>
            <w:tcW w:type="dxa" w:w="1440"/>
          </w:tcPr>
          <w:p>
            <w:r>
              <w:t>High</w:t>
            </w:r>
          </w:p>
        </w:tc>
      </w:tr>
      <w:tr>
        <w:tc>
          <w:tcPr>
            <w:tcW w:type="dxa" w:w="1440"/>
          </w:tcPr>
          <w:p>
            <w:r>
              <w:t>Unite MSC</w:t>
            </w:r>
          </w:p>
        </w:tc>
        <w:tc>
          <w:tcPr>
            <w:tcW w:type="dxa" w:w="1440"/>
          </w:tcPr>
          <w:p>
            <w:r>
              <w:t>Mobile 2 API</w:t>
            </w:r>
          </w:p>
        </w:tc>
        <w:tc>
          <w:tcPr>
            <w:tcW w:type="dxa" w:w="1440"/>
          </w:tcPr>
          <w:p>
            <w:r>
              <w:t>Near-complete for documented business scope; harness endpoint excluded from automation num…</w:t>
            </w:r>
          </w:p>
        </w:tc>
        <w:tc>
          <w:tcPr>
            <w:tcW w:type="dxa" w:w="1440"/>
          </w:tcPr>
          <w:p>
            <w:r>
              <w:t>24/25 implemented</w:t>
            </w:r>
          </w:p>
        </w:tc>
        <w:tc>
          <w:tcPr>
            <w:tcW w:type="dxa" w:w="1440"/>
          </w:tcPr>
          <w:p>
            <w:r>
              <w:t>Not scheduled</w:t>
            </w:r>
          </w:p>
        </w:tc>
        <w:tc>
          <w:tcPr>
            <w:tcW w:type="dxa" w:w="1440"/>
          </w:tcPr>
          <w:p>
            <w:r>
              <w:t>High</w:t>
            </w:r>
          </w:p>
        </w:tc>
      </w:tr>
      <w:tr>
        <w:tc>
          <w:tcPr>
            <w:tcW w:type="dxa" w:w="1440"/>
          </w:tcPr>
          <w:p>
            <w:r>
              <w:t>Unite MSC</w:t>
            </w:r>
          </w:p>
        </w:tc>
        <w:tc>
          <w:tcPr>
            <w:tcW w:type="dxa" w:w="1440"/>
          </w:tcPr>
          <w:p>
            <w:r>
              <w:t>Mobile 1 API</w:t>
            </w:r>
          </w:p>
        </w:tc>
        <w:tc>
          <w:tcPr>
            <w:tcW w:type="dxa" w:w="1440"/>
          </w:tcPr>
          <w:p>
            <w:r>
              <w:t>Partial coverage with expansion in progress on owner profile beneficiary and bank routing</w:t>
            </w:r>
          </w:p>
        </w:tc>
        <w:tc>
          <w:tcPr>
            <w:tcW w:type="dxa" w:w="1440"/>
          </w:tcPr>
          <w:p>
            <w:r>
              <w:t>Partial — sprint expansion</w:t>
            </w:r>
          </w:p>
        </w:tc>
        <w:tc>
          <w:tcPr>
            <w:tcW w:type="dxa" w:w="1440"/>
          </w:tcPr>
          <w:p>
            <w:r>
              <w:t>Not scheduled</w:t>
            </w:r>
          </w:p>
        </w:tc>
        <w:tc>
          <w:tcPr>
            <w:tcW w:type="dxa" w:w="1440"/>
          </w:tcPr>
          <w:p>
            <w:r>
              <w:t>High</w:t>
            </w:r>
          </w:p>
        </w:tc>
      </w:tr>
      <w:tr>
        <w:tc>
          <w:tcPr>
            <w:tcW w:type="dxa" w:w="1440"/>
          </w:tcPr>
          <w:p>
            <w:r>
              <w:t>Unite MSC</w:t>
            </w:r>
          </w:p>
        </w:tc>
        <w:tc>
          <w:tcPr>
            <w:tcW w:type="dxa" w:w="1440"/>
          </w:tcPr>
          <w:p>
            <w:r>
              <w:t>Mobile Enrollment API</w:t>
            </w:r>
          </w:p>
        </w:tc>
        <w:tc>
          <w:tcPr>
            <w:tcW w:type="dxa" w:w="1440"/>
          </w:tcPr>
          <w:p>
            <w:r>
              <w:t>Pilot framework in place; endpoint inventory and automation scope not yet enumerated</w:t>
            </w:r>
          </w:p>
        </w:tc>
        <w:tc>
          <w:tcPr>
            <w:tcW w:type="dxa" w:w="1440"/>
          </w:tcPr>
          <w:p>
            <w:r>
              <w:t>Bootstrap smoke only</w:t>
            </w:r>
          </w:p>
        </w:tc>
        <w:tc>
          <w:tcPr>
            <w:tcW w:type="dxa" w:w="1440"/>
          </w:tcPr>
          <w:p>
            <w:r>
              <w:t>Not scheduled</w:t>
            </w:r>
          </w:p>
        </w:tc>
        <w:tc>
          <w:tcPr>
            <w:tcW w:type="dxa" w:w="1440"/>
          </w:tcPr>
          <w:p>
            <w:r>
              <w:t>Medium</w:t>
            </w:r>
          </w:p>
        </w:tc>
      </w:tr>
      <w:tr>
        <w:tc>
          <w:tcPr>
            <w:tcW w:type="dxa" w:w="1440"/>
          </w:tcPr>
          <w:p>
            <w:r>
              <w:t>Unite MSC</w:t>
            </w:r>
          </w:p>
        </w:tc>
        <w:tc>
          <w:tcPr>
            <w:tcW w:type="dxa" w:w="1440"/>
          </w:tcPr>
          <w:p>
            <w:r>
              <w:t>UniteMSC microservices</w:t>
            </w:r>
          </w:p>
        </w:tc>
        <w:tc>
          <w:tcPr>
            <w:tcW w:type="dxa" w:w="1440"/>
          </w:tcPr>
          <w:p>
            <w:r>
              <w:t>Service acceptance automation exists; not a substitute for BFF API regression</w:t>
            </w:r>
          </w:p>
        </w:tc>
        <w:tc>
          <w:tcPr>
            <w:tcW w:type="dxa" w:w="1440"/>
          </w:tcPr>
          <w:p>
            <w:r>
              <w:t>Substantial service-level assets</w:t>
            </w:r>
          </w:p>
        </w:tc>
        <w:tc>
          <w:tcPr>
            <w:tcW w:type="dxa" w:w="1440"/>
          </w:tcPr>
          <w:p>
            <w:r>
              <w:t>Per-repo GitLab pipeline</w:t>
            </w:r>
          </w:p>
        </w:tc>
        <w:tc>
          <w:tcPr>
            <w:tcW w:type="dxa" w:w="1440"/>
          </w:tcPr>
          <w:p>
            <w:r>
              <w:t>Medium</w:t>
            </w:r>
          </w:p>
        </w:tc>
      </w:tr>
      <w:tr>
        <w:tc>
          <w:tcPr>
            <w:tcW w:type="dxa" w:w="1440"/>
          </w:tcPr>
          <w:p>
            <w:r>
              <w:t>Unite MSC</w:t>
            </w:r>
          </w:p>
        </w:tc>
        <w:tc>
          <w:tcPr>
            <w:tcW w:type="dxa" w:w="1440"/>
          </w:tcPr>
          <w:p>
            <w:r>
              <w:t>Application source code</w:t>
            </w:r>
          </w:p>
        </w:tc>
        <w:tc>
          <w:tcPr>
            <w:tcW w:type="dxa" w:w="1440"/>
          </w:tcPr>
          <w:p>
            <w:r>
              <w:t>Application line coverage separate from business automation; no coverage-delta MR gate</w:t>
            </w:r>
          </w:p>
        </w:tc>
        <w:tc>
          <w:tcPr>
            <w:tcW w:type="dxa" w:w="1440"/>
          </w:tcPr>
          <w:p>
            <w:r>
              <w:t>Generated in CI</w:t>
            </w:r>
          </w:p>
        </w:tc>
        <w:tc>
          <w:tcPr>
            <w:tcW w:type="dxa" w:w="1440"/>
          </w:tcPr>
          <w:p>
            <w:r>
              <w:t>Service build/test gate</w:t>
            </w:r>
          </w:p>
        </w:tc>
        <w:tc>
          <w:tcPr>
            <w:tcW w:type="dxa" w:w="1440"/>
          </w:tcPr>
          <w:p>
            <w:r>
              <w:t>High</w:t>
            </w:r>
          </w:p>
        </w:tc>
      </w:tr>
      <w:tr>
        <w:tc>
          <w:tcPr>
            <w:tcW w:type="dxa" w:w="1440"/>
          </w:tcPr>
          <w:p>
            <w:r>
              <w:t>Unite MSC</w:t>
            </w:r>
          </w:p>
        </w:tc>
        <w:tc>
          <w:tcPr>
            <w:tcW w:type="dxa" w:w="1440"/>
          </w:tcPr>
          <w:p>
            <w:r>
              <w:t>GitHub Actions</w:t>
            </w:r>
          </w:p>
        </w:tc>
        <w:tc>
          <w:tcPr>
            <w:tcW w:type="dxa" w:w="1440"/>
          </w:tcPr>
          <w:p>
            <w:r>
              <w:t>Deployment validation — not nightly business regression</w:t>
            </w:r>
          </w:p>
        </w:tc>
        <w:tc>
          <w:tcPr>
            <w:tcW w:type="dxa" w:w="1440"/>
          </w:tcPr>
          <w:p>
            <w:r>
              <w:t>Deployment slice validated</w:t>
            </w:r>
          </w:p>
        </w:tc>
        <w:tc>
          <w:tcPr>
            <w:tcW w:type="dxa" w:w="1440"/>
          </w:tcPr>
          <w:p>
            <w:r>
              <w:t>Workflow not in clone</w:t>
            </w:r>
          </w:p>
        </w:tc>
        <w:tc>
          <w:tcPr>
            <w:tcW w:type="dxa" w:w="1440"/>
          </w:tcPr>
          <w:p>
            <w:r>
              <w:t>Medium</w:t>
            </w:r>
          </w:p>
        </w:tc>
      </w:tr>
      <w:tr>
        <w:tc>
          <w:tcPr>
            <w:tcW w:type="dxa" w:w="1440"/>
          </w:tcPr>
          <w:p>
            <w:r>
              <w:t>Universal Platform</w:t>
            </w:r>
          </w:p>
        </w:tc>
        <w:tc>
          <w:tcPr>
            <w:tcW w:type="dxa" w:w="1440"/>
          </w:tcPr>
          <w:p>
            <w:r>
              <w:t>Universal Enrollment</w:t>
            </w:r>
          </w:p>
        </w:tc>
        <w:tc>
          <w:tcPr>
            <w:tcW w:type="dxa" w:w="1440"/>
          </w:tcPr>
          <w:p>
            <w:r>
              <w:t>Majority of current high-priority enrollment journeys automated in Modern Unite nightly</w:t>
            </w:r>
          </w:p>
        </w:tc>
        <w:tc>
          <w:tcPr>
            <w:tcW w:type="dxa" w:w="1440"/>
          </w:tcPr>
          <w:p>
            <w:r>
              <w:t>Near-complete for approved regression scope</w:t>
            </w:r>
          </w:p>
        </w:tc>
        <w:tc>
          <w:tcPr>
            <w:tcW w:type="dxa" w:w="1440"/>
          </w:tcPr>
          <w:p>
            <w:r>
              <w:t>scheduled_regression_job</w:t>
            </w:r>
          </w:p>
        </w:tc>
        <w:tc>
          <w:tcPr>
            <w:tcW w:type="dxa" w:w="1440"/>
          </w:tcPr>
          <w:p>
            <w:r>
              <w:t>High</w:t>
            </w:r>
          </w:p>
        </w:tc>
      </w:tr>
      <w:tr>
        <w:tc>
          <w:tcPr>
            <w:tcW w:type="dxa" w:w="1440"/>
          </w:tcPr>
          <w:p>
            <w:r>
              <w:t>Universal Platform</w:t>
            </w:r>
          </w:p>
        </w:tc>
        <w:tc>
          <w:tcPr>
            <w:tcW w:type="dxa" w:w="1440"/>
          </w:tcPr>
          <w:p>
            <w:r>
              <w:t>IDP / Authentication</w:t>
            </w:r>
          </w:p>
        </w:tc>
        <w:tc>
          <w:tcPr>
            <w:tcW w:type="dxa" w:w="1440"/>
          </w:tcPr>
          <w:p>
            <w:r>
              <w:t>Near-complete automation for current documented IDP regression scope</w:t>
            </w:r>
          </w:p>
        </w:tc>
        <w:tc>
          <w:tcPr>
            <w:tcW w:type="dxa" w:w="1440"/>
          </w:tcPr>
          <w:p>
            <w:r>
              <w:t>Near-complete for approved regression scope</w:t>
            </w:r>
          </w:p>
        </w:tc>
        <w:tc>
          <w:tcPr>
            <w:tcW w:type="dxa" w:w="1440"/>
          </w:tcPr>
          <w:p>
            <w:r>
              <w:t>scheduled_regression_job</w:t>
            </w:r>
          </w:p>
        </w:tc>
        <w:tc>
          <w:tcPr>
            <w:tcW w:type="dxa" w:w="1440"/>
          </w:tcPr>
          <w:p>
            <w:r>
              <w:t>High</w:t>
            </w:r>
          </w:p>
        </w:tc>
      </w:tr>
      <w:tr>
        <w:tc>
          <w:tcPr>
            <w:tcW w:type="dxa" w:w="1440"/>
          </w:tcPr>
          <w:p>
            <w:r>
              <w:t>Universal Platform</w:t>
            </w:r>
          </w:p>
        </w:tc>
        <w:tc>
          <w:tcPr>
            <w:tcW w:type="dxa" w:w="1440"/>
          </w:tcPr>
          <w:p>
            <w:r>
              <w:t>Withdrawals</w:t>
            </w:r>
          </w:p>
        </w:tc>
        <w:tc>
          <w:tcPr>
            <w:tcW w:type="dxa" w:w="1440"/>
          </w:tcPr>
          <w:p>
            <w:r>
              <w:t>Withdrawal domain automated in nightly; transfers adjacent (12 V2 methods)</w:t>
            </w:r>
          </w:p>
        </w:tc>
        <w:tc>
          <w:tcPr>
            <w:tcW w:type="dxa" w:w="1440"/>
          </w:tcPr>
          <w:p>
            <w:r>
              <w:t>Near-complete for withdrawal regression scope</w:t>
            </w:r>
          </w:p>
        </w:tc>
        <w:tc>
          <w:tcPr>
            <w:tcW w:type="dxa" w:w="1440"/>
          </w:tcPr>
          <w:p>
            <w:r>
              <w:t>scheduled_regression_job</w:t>
            </w:r>
          </w:p>
        </w:tc>
        <w:tc>
          <w:tcPr>
            <w:tcW w:type="dxa" w:w="1440"/>
          </w:tcPr>
          <w:p>
            <w:r>
              <w:t>High</w:t>
            </w:r>
          </w:p>
        </w:tc>
      </w:tr>
      <w:tr>
        <w:tc>
          <w:tcPr>
            <w:tcW w:type="dxa" w:w="1440"/>
          </w:tcPr>
          <w:p>
            <w:r>
              <w:t>Universal Platform</w:t>
            </w:r>
          </w:p>
        </w:tc>
        <w:tc>
          <w:tcPr>
            <w:tcW w:type="dxa" w:w="1440"/>
          </w:tcPr>
          <w:p>
            <w:r>
              <w:t>Entity / ABLE Entity</w:t>
            </w:r>
          </w:p>
        </w:tc>
        <w:tc>
          <w:tcPr>
            <w:tcW w:type="dxa" w:w="1440"/>
          </w:tcPr>
          <w:p>
            <w:r>
              <w:t>Partial coverage with expansion in progress; remaining work primarily Entity and newly mig…</w:t>
            </w:r>
          </w:p>
        </w:tc>
        <w:tc>
          <w:tcPr>
            <w:tcW w:type="dxa" w:w="1440"/>
          </w:tcPr>
          <w:p>
            <w:r>
              <w:t>Partial — 6 scenarios in repo</w:t>
            </w:r>
          </w:p>
        </w:tc>
        <w:tc>
          <w:tcPr>
            <w:tcW w:type="dxa" w:w="1440"/>
          </w:tcPr>
          <w:p>
            <w:r>
              <w:t>Unknown pipeline inclusion</w:t>
            </w:r>
          </w:p>
        </w:tc>
        <w:tc>
          <w:tcPr>
            <w:tcW w:type="dxa" w:w="1440"/>
          </w:tcPr>
          <w:p>
            <w:r>
              <w:t>High</w:t>
            </w:r>
          </w:p>
        </w:tc>
      </w:tr>
      <w:tr>
        <w:tc>
          <w:tcPr>
            <w:tcW w:type="dxa" w:w="1440"/>
          </w:tcPr>
          <w:p>
            <w:r>
              <w:t>Universal Platform</w:t>
            </w:r>
          </w:p>
        </w:tc>
        <w:tc>
          <w:tcPr>
            <w:tcW w:type="dxa" w:w="1440"/>
          </w:tcPr>
          <w:p>
            <w:r>
              <w:t>Angular lib-ui</w:t>
            </w:r>
          </w:p>
        </w:tc>
        <w:tc>
          <w:tcPr>
            <w:tcW w:type="dxa" w:w="1440"/>
          </w:tcPr>
          <w:p>
            <w:r>
              <w:t>Component tests — not E2E business journey coverage</w:t>
            </w:r>
          </w:p>
        </w:tc>
        <w:tc>
          <w:tcPr>
            <w:tcW w:type="dxa" w:w="1440"/>
          </w:tcPr>
          <w:p>
            <w:r>
              <w:t>Component-level only</w:t>
            </w:r>
          </w:p>
        </w:tc>
        <w:tc>
          <w:tcPr>
            <w:tcW w:type="dxa" w:w="1440"/>
          </w:tcPr>
          <w:p>
            <w:r>
              <w:t>accountowner_build_tdd partial</w:t>
            </w:r>
          </w:p>
        </w:tc>
        <w:tc>
          <w:tcPr>
            <w:tcW w:type="dxa" w:w="1440"/>
          </w:tcPr>
          <w:p>
            <w:r>
              <w:t>Medium</w:t>
            </w:r>
          </w:p>
        </w:tc>
      </w:tr>
      <w:tr>
        <w:tc>
          <w:tcPr>
            <w:tcW w:type="dxa" w:w="1440"/>
          </w:tcPr>
          <w:p>
            <w:r>
              <w:t>Universal Platform</w:t>
            </w:r>
          </w:p>
        </w:tc>
        <w:tc>
          <w:tcPr>
            <w:tcW w:type="dxa" w:w="1440"/>
          </w:tcPr>
          <w:p>
            <w:r>
              <w:t>Universal API (scoped)</w:t>
            </w:r>
          </w:p>
        </w:tc>
        <w:tc>
          <w:tcPr>
            <w:tcW w:type="dxa" w:w="1440"/>
          </w:tcPr>
          <w:p>
            <w:r>
              <w:t>API automation exists beyond metadata; only metadataweb on GitLab schedule today</w:t>
            </w:r>
          </w:p>
        </w:tc>
        <w:tc>
          <w:tcPr>
            <w:tcW w:type="dxa" w:w="1440"/>
          </w:tcPr>
          <w:p>
            <w:r>
              <w:t>11 ops mapped in UP ledger</w:t>
            </w:r>
          </w:p>
        </w:tc>
        <w:tc>
          <w:tcPr>
            <w:tcW w:type="dxa" w:w="1440"/>
          </w:tcPr>
          <w:p>
            <w:r>
              <w:t>scheduled_metadataweb_stage1</w:t>
            </w:r>
          </w:p>
        </w:tc>
        <w:tc>
          <w:tcPr>
            <w:tcW w:type="dxa" w:w="1440"/>
          </w:tcPr>
          <w:p>
            <w:r>
              <w:t>High</w:t>
            </w:r>
          </w:p>
        </w:tc>
      </w:tr>
      <w:tr>
        <w:tc>
          <w:tcPr>
            <w:tcW w:type="dxa" w:w="1440"/>
          </w:tcPr>
          <w:p>
            <w:r>
              <w:t>Universal Platform</w:t>
            </w:r>
          </w:p>
        </w:tc>
        <w:tc>
          <w:tcPr>
            <w:tcW w:type="dxa" w:w="1440"/>
          </w:tcPr>
          <w:p>
            <w:r>
              <w:t>Performance journeys</w:t>
            </w:r>
          </w:p>
        </w:tc>
        <w:tc>
          <w:tcPr>
            <w:tcW w:type="dxa" w:w="1440"/>
          </w:tcPr>
          <w:p>
            <w:r>
              <w:t>Performance assets exist; not all journeys on recurring schedule</w:t>
            </w:r>
          </w:p>
        </w:tc>
        <w:tc>
          <w:tcPr>
            <w:tcW w:type="dxa" w:w="1440"/>
          </w:tcPr>
          <w:p>
            <w:r>
              <w:t>IDP perf scheduled; others manual</w:t>
            </w:r>
          </w:p>
        </w:tc>
        <w:tc>
          <w:tcPr>
            <w:tcW w:type="dxa" w:w="1440"/>
          </w:tcPr>
          <w:p>
            <w:r>
              <w:t>Partial scheduled</w:t>
            </w:r>
          </w:p>
        </w:tc>
        <w:tc>
          <w:tcPr>
            <w:tcW w:type="dxa" w:w="1440"/>
          </w:tcPr>
          <w:p>
            <w:r>
              <w:t>Medium</w:t>
            </w:r>
          </w:p>
        </w:tc>
      </w:tr>
    </w:tbl>
    <w:p/>
    <w:p>
      <w:pPr>
        <w:pStyle w:val="Heading1"/>
      </w:pPr>
      <w:r>
        <w:t>Verified Metrics Register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Area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As 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Evidence</w:t>
            </w:r>
          </w:p>
        </w:tc>
      </w:tr>
      <w:tr>
        <w:tc>
          <w:tcPr>
            <w:tcW w:type="dxa" w:w="1728"/>
          </w:tcPr>
          <w:p>
            <w:r>
              <w:t>Unite MSC</w:t>
            </w:r>
          </w:p>
        </w:tc>
        <w:tc>
          <w:tcPr>
            <w:tcW w:type="dxa" w:w="1728"/>
          </w:tcPr>
          <w:p>
            <w:r>
              <w:t>Mobile 2 business endpoint automation (code)</w:t>
            </w:r>
          </w:p>
        </w:tc>
        <w:tc>
          <w:tcPr>
            <w:tcW w:type="dxa" w:w="1728"/>
          </w:tcPr>
          <w:p>
            <w:r>
              <w:t>96.0%</w:t>
            </w:r>
          </w:p>
        </w:tc>
        <w:tc>
          <w:tcPr>
            <w:tcW w:type="dxa" w:w="1728"/>
          </w:tcPr>
          <w:p>
            <w:r>
              <w:t>2026-07-20T18:15:00-04:00</w:t>
            </w:r>
          </w:p>
        </w:tc>
        <w:tc>
          <w:tcPr>
            <w:tcW w:type="dxa" w:w="1728"/>
          </w:tcPr>
          <w:p>
            <w:r>
              <w:t>C:\Workspace\GitLab\api-test-automation/mobile/mobile2</w:t>
            </w:r>
          </w:p>
        </w:tc>
      </w:tr>
      <w:tr>
        <w:tc>
          <w:tcPr>
            <w:tcW w:type="dxa" w:w="1728"/>
          </w:tcPr>
          <w:p>
            <w:r>
              <w:t>Unite MSC</w:t>
            </w:r>
          </w:p>
        </w:tc>
        <w:tc>
          <w:tcPr>
            <w:tcW w:type="dxa" w:w="1728"/>
          </w:tcPr>
          <w:p>
            <w:r>
              <w:t>Mobile 1 endpoint automation (code)</w:t>
            </w:r>
          </w:p>
        </w:tc>
        <w:tc>
          <w:tcPr>
            <w:tcW w:type="dxa" w:w="1728"/>
          </w:tcPr>
          <w:p>
            <w:r>
              <w:t>22.2%</w:t>
            </w:r>
          </w:p>
        </w:tc>
        <w:tc>
          <w:tcPr>
            <w:tcW w:type="dxa" w:w="1728"/>
          </w:tcPr>
          <w:p>
            <w:r>
              <w:t>2026-07-20T18:15:00-04:00</w:t>
            </w:r>
          </w:p>
        </w:tc>
        <w:tc>
          <w:tcPr>
            <w:tcW w:type="dxa" w:w="1728"/>
          </w:tcPr>
          <w:p>
            <w:r>
              <w:t>mobile/mobile1</w:t>
            </w:r>
          </w:p>
        </w:tc>
      </w:tr>
      <w:tr>
        <w:tc>
          <w:tcPr>
            <w:tcW w:type="dxa" w:w="1728"/>
          </w:tcPr>
          <w:p>
            <w:r>
              <w:t>Unite MSC</w:t>
            </w:r>
          </w:p>
        </w:tc>
        <w:tc>
          <w:tcPr>
            <w:tcW w:type="dxa" w:w="1728"/>
          </w:tcPr>
          <w:p>
            <w:r>
              <w:t>Mobile 1 execution-verified endpoints</w:t>
            </w:r>
          </w:p>
        </w:tc>
        <w:tc>
          <w:tcPr>
            <w:tcW w:type="dxa" w:w="1728"/>
          </w:tcPr>
          <w:p>
            <w:r>
              <w:t>3.7%</w:t>
            </w:r>
          </w:p>
        </w:tc>
        <w:tc>
          <w:tcPr>
            <w:tcW w:type="dxa" w:w="1728"/>
          </w:tcPr>
          <w:p>
            <w:r>
              <w:t>2026-07-09</w:t>
            </w:r>
          </w:p>
        </w:tc>
        <w:tc>
          <w:tcPr>
            <w:tcW w:type="dxa" w:w="1728"/>
          </w:tcPr>
          <w:p>
            <w:r>
              <w:t>03-document-postman-coverage-matrix.md</w:t>
            </w:r>
          </w:p>
        </w:tc>
      </w:tr>
      <w:tr>
        <w:tc>
          <w:tcPr>
            <w:tcW w:type="dxa" w:w="1728"/>
          </w:tcPr>
          <w:p>
            <w:r>
              <w:t>Universal Platform</w:t>
            </w:r>
          </w:p>
        </w:tc>
        <w:tc>
          <w:tcPr>
            <w:tcW w:type="dxa" w:w="1728"/>
          </w:tcPr>
          <w:p>
            <w:r>
              <w:t>V3 scoped TestNG nightly share</w:t>
            </w:r>
          </w:p>
        </w:tc>
        <w:tc>
          <w:tcPr>
            <w:tcW w:type="dxa" w:w="1728"/>
          </w:tcPr>
          <w:p>
            <w:r>
              <w:t>86.9%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universal-platform-coverage</w:t>
            </w:r>
          </w:p>
        </w:tc>
      </w:tr>
      <w:tr>
        <w:tc>
          <w:tcPr>
            <w:tcW w:type="dxa" w:w="1728"/>
          </w:tcPr>
          <w:p>
            <w:r>
              <w:t>Universal Platform</w:t>
            </w:r>
          </w:p>
        </w:tc>
        <w:tc>
          <w:tcPr>
            <w:tcW w:type="dxa" w:w="1728"/>
          </w:tcPr>
          <w:p>
            <w:r>
              <w:t>V3 GitLab scheduled job</w:t>
            </w:r>
          </w:p>
        </w:tc>
        <w:tc>
          <w:tcPr>
            <w:tcW w:type="dxa" w:w="1728"/>
          </w:tcPr>
          <w:p>
            <w:r>
              <w:t>100%</w:t>
            </w:r>
          </w:p>
        </w:tc>
        <w:tc>
          <w:tcPr>
            <w:tcW w:type="dxa" w:w="1728"/>
          </w:tcPr>
          <w:p>
            <w:r>
              <w:t>2026-07-20T18:15:00-04:00</w:t>
            </w:r>
          </w:p>
        </w:tc>
        <w:tc>
          <w:tcPr>
            <w:tcW w:type="dxa" w:w="1728"/>
          </w:tcPr>
          <w:p>
            <w:r>
              <w:t>prime-test-automation/.gitlab-ci.yml</w:t>
            </w:r>
          </w:p>
        </w:tc>
      </w:tr>
      <w:tr>
        <w:tc>
          <w:tcPr>
            <w:tcW w:type="dxa" w:w="1728"/>
          </w:tcPr>
          <w:p>
            <w:r>
              <w:t>Universal Platform</w:t>
            </w:r>
          </w:p>
        </w:tc>
        <w:tc>
          <w:tcPr>
            <w:tcW w:type="dxa" w:w="1728"/>
          </w:tcPr>
          <w:p>
            <w:r>
              <w:t>Metadataweb API GitLab job</w:t>
            </w:r>
          </w:p>
        </w:tc>
        <w:tc>
          <w:tcPr>
            <w:tcW w:type="dxa" w:w="1728"/>
          </w:tcPr>
          <w:p>
            <w:r>
              <w:t>100%</w:t>
            </w:r>
          </w:p>
        </w:tc>
        <w:tc>
          <w:tcPr>
            <w:tcW w:type="dxa" w:w="1728"/>
          </w:tcPr>
          <w:p>
            <w:r>
              <w:t>2026-07-20T18:15:00-04:00</w:t>
            </w:r>
          </w:p>
        </w:tc>
        <w:tc>
          <w:tcPr>
            <w:tcW w:type="dxa" w:w="1728"/>
          </w:tcPr>
          <w:p>
            <w:r>
              <w:t>api-test-automation/.gitlab-ci.yml</w:t>
            </w:r>
          </w:p>
        </w:tc>
      </w:tr>
    </w:tbl>
    <w:p/>
    <w:p>
      <w:pPr>
        <w:pStyle w:val="Heading1"/>
      </w:pPr>
      <w:r>
        <w:t>Pending Verification (do not quote as final)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Area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Projected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As 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Dependency</w:t>
            </w:r>
          </w:p>
        </w:tc>
      </w:tr>
    </w:tbl>
    <w:p/>
    <w:p>
      <w:pPr>
        <w:pStyle w:val="Heading1"/>
      </w:pPr>
      <w:r>
        <w:t>CI/CD Integration</w:t>
      </w:r>
    </w:p>
    <w:p>
      <w:r>
        <w:t>GitLab: V3 scheduled_regression_job and metadataweb Stage1 — scheduled jobs exit non-zero on failure (not verified as MR merge gates). GitHub Actions: Mobile 2 Dashboard vertical slice externally validated; workflow repository not in audit clone. Jenkins: IDP performance scheduled; V2 UI recurring job not verified. Mobile 2 GitLab nightly not created (QA-1405).</w:t>
      </w:r>
    </w:p>
    <w:p>
      <w:pPr>
        <w:pStyle w:val="Heading1"/>
      </w:pPr>
      <w:r>
        <w:t>Leadership Narrative</w:t>
      </w:r>
    </w:p>
    <w:p>
      <w:r>
        <w:t>The team has meaningful automation across Government Savings. The current limitation is not the ability to build automation; it is establishing a consistent, traceable coverage model across Jira, qTest, repositories, and CI execution.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800" w:bottom="1134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Confidential — Internal Use  |  July 21, 2026  |  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003057"/>
        <w:sz w:val="18"/>
      </w:rPr>
      <w:t>Ascensus Government Savings  |  Automation Coverage Assessment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