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line="276" w:lineRule="auto"/>
        <w:jc w:val="center"/>
      </w:pPr>
      <w:r>
        <w:rPr>
          <w:rFonts w:ascii="Calibri" w:hAnsi="Calibri"/>
          <w:b/>
          <w:color w:val="003057"/>
          <w:sz w:val="52"/>
        </w:rPr>
        <w:t>AI-ASSISTED SCENARIO DEVELOPMENT</w:t>
      </w:r>
    </w:p>
    <w:p>
      <w:pPr>
        <w:spacing w:line="276" w:lineRule="auto"/>
        <w:jc w:val="center"/>
      </w:pPr>
      <w:r>
        <w:rPr>
          <w:rFonts w:ascii="Calibri" w:hAnsi="Calibri"/>
          <w:b w:val="0"/>
          <w:color w:val="007A8C"/>
          <w:sz w:val="32"/>
        </w:rPr>
        <w:t>Cursor pattern with mandatory human review</w:t>
      </w:r>
    </w:p>
    <w:p>
      <w:pPr>
        <w:spacing w:line="276" w:lineRule="auto"/>
        <w:jc w:val="center"/>
      </w:pPr>
      <w:r>
        <w:rPr>
          <w:rFonts w:ascii="Calibri" w:hAnsi="Calibri"/>
          <w:b/>
          <w:color w:val="007A8C"/>
          <w:sz w:val="32"/>
        </w:rPr>
        <w:t>GUIDE</w:t>
      </w:r>
    </w:p>
    <w:p>
      <w:pPr>
        <w:spacing w:line="276" w:lineRule="auto"/>
        <w:jc w:val="center"/>
      </w:pPr>
      <w:r>
        <w:rPr>
          <w:rFonts w:ascii="Calibri" w:hAnsi="Calibri"/>
          <w:b w:val="0"/>
          <w:color w:val="616161"/>
          <w:sz w:val="22"/>
        </w:rPr>
        <w:t>September 14, 2026  ·  QA Automation (AMSQUAD)  ·  QA-893</w:t>
      </w:r>
    </w:p>
    <w:p>
      <w:pPr>
        <w:spacing w:line="276" w:lineRule="auto"/>
        <w:jc w:val="center"/>
      </w:pPr>
      <w:r>
        <w:rPr>
          <w:rFonts w:ascii="Calibri" w:hAnsi="Calibri"/>
          <w:b w:val="0"/>
          <w:color w:val="616161"/>
          <w:sz w:val="20"/>
        </w:rPr>
        <w:t>Classification: Internal — handover to engineering and support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1. Copy a neighbor class</w:t>
      </w:r>
    </w:p>
    <w:p>
      <w:pPr>
        <w:spacing w:line="276" w:lineRule="auto"/>
      </w:pPr>
      <w:r>
        <w:rPr>
          <w:rFonts w:ascii="Calibri" w:hAnsi="Calibri"/>
          <w:b w:val="0"/>
          <w:color w:val="616161"/>
          <w:sz w:val="22"/>
        </w:rPr>
        <w:t>Clone OwnerEnteredTests (or similar). Extend EnrollmentBaseTest. Same TestNG groups. Wire regression + integration XML for okdirect and newyork only.</w:t>
      </w:r>
    </w:p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2. Prompt rules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3E0" w:val="clear"/>
          </w:tcPr>
          <w:p>
            <w:pPr>
              <w:spacing w:after="200" w:before="200" w:line="276" w:lineRule="auto"/>
            </w:pPr>
            <w:r/>
            <w:r>
              <w:rPr>
                <w:rFonts w:ascii="Calibri" w:hAnsi="Calibri"/>
                <w:b/>
                <w:color w:val="003057"/>
                <w:sz w:val="22"/>
              </w:rPr>
              <w:t>Do not put passwords, JWT, or SSN in the prompt. Attach stripped Postman or plain payloads from msc-enrollment/postman/payloads/plain/.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3. Human review</w:t>
      </w:r>
    </w:p>
    <w:p>
      <w:pPr>
        <w:pStyle w:val="ListBullet"/>
      </w:pPr>
      <w:r>
        <w:t>Path and method match catalog</w:t>
      </w:r>
    </w:p>
    <w:p>
      <w:pPr>
        <w:pStyle w:val="ListBullet"/>
      </w:pPr>
      <w:r>
        <w:t>No SkipException hiding 500s</w:t>
      </w:r>
    </w:p>
    <w:p>
      <w:pPr>
        <w:pStyle w:val="ListBullet"/>
      </w:pPr>
      <w:r>
        <w:t>One local run</w:t>
      </w:r>
    </w:p>
    <w:p>
      <w:pPr>
        <w:pStyle w:val="ListBullet"/>
      </w:pPr>
      <w:r>
        <w:t>Second person reviews the MR (QA-2047)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b w:val="0"/>
        <w:color w:val="616161"/>
        <w:sz w:val="16"/>
      </w:rPr>
      <w:t>QA Automation AMSQUAD  ·  September 14, 2026  ·  No credentials</w:t>
    </w:r>
  </w:p>
  <w:p>
    <w:pPr>
      <w:jc w:val="right"/>
    </w:pPr>
    <w:r>
      <w:rPr>
        <w:rFonts w:ascii="Calibri" w:hAnsi="Calibri"/>
        <w:b w:val="0"/>
        <w:color w:val="616161"/>
        <w:sz w:val="16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16161"/>
        <w:sz w:val="16"/>
      </w:rPr>
      <w:t>Enrollment API  ·  AI scenarios  |  Internal  |  QA-893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360" w:lineRule="auto"/>
    </w:pPr>
    <w:rPr>
      <w:rFonts w:ascii="Calibri" w:hAnsi="Calibri"/>
      <w:color w:val="61616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