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Government Savings</w:t>
      </w:r>
    </w:p>
    <w:p>
      <w:pPr>
        <w:jc w:val="center"/>
      </w:pPr>
      <w:r>
        <w:rPr>
          <w:b/>
          <w:sz w:val="28"/>
        </w:rPr>
        <w:t>Automation Coverage &amp; CI Integration Assessment</w:t>
      </w:r>
    </w:p>
    <w:p>
      <w:pPr>
        <w:jc w:val="center"/>
      </w:pPr>
      <w:r>
        <w:t>Assessment Date: July 20, 2026</w:t>
        <w:br/>
        <w:t>Prepared for: Ascensus Leadership</w:t>
      </w:r>
    </w:p>
    <w:p>
      <w:pPr>
        <w:pStyle w:val="Heading1"/>
      </w:pPr>
      <w:r>
        <w:t>Executive Summary</w:t>
      </w:r>
    </w:p>
    <w:p>
      <w:r>
        <w:t>Government Savings has meaningful automated coverage across Universal Platform V3 UI (GitLab nightly), legacy V2 UI (large Jenkins/Ant corpus), MSC Mobile APIs (100% in-scope endpoint automation in code), metadataweb API (GitLab nightly), and performance assets. A single GS-wide coverage percentage is not defensible without a unified business denominator. Verified metrics: V3 UI 86.9% inventory share; V2 UP-scoped 36.0%; Mobile 2 API 100% (24/24 endpoints); Mobile 1 API 22.2% (6/27 endpoints).</w:t>
      </w:r>
    </w:p>
    <w:p>
      <w:pPr>
        <w:pStyle w:val="Heading1"/>
      </w:pPr>
      <w:r>
        <w:t>Verified Coverage Snapshot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Area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Result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CI Scheduled</w:t>
            </w:r>
          </w:p>
        </w:tc>
      </w:tr>
      <w:tr>
        <w:tc>
          <w:tcPr>
            <w:tcW w:type="dxa" w:w="2160"/>
          </w:tcPr>
          <w:p>
            <w:r>
              <w:t>V3 / UE UI</w:t>
            </w:r>
          </w:p>
        </w:tc>
        <w:tc>
          <w:tcPr>
            <w:tcW w:type="dxa" w:w="2160"/>
          </w:tcPr>
          <w:p>
            <w:r>
              <w:t>TestNG inventory share</w:t>
            </w:r>
          </w:p>
        </w:tc>
        <w:tc>
          <w:tcPr>
            <w:tcW w:type="dxa" w:w="2160"/>
          </w:tcPr>
          <w:p>
            <w:r>
              <w:t>86.9% (379/436)</w:t>
            </w:r>
          </w:p>
        </w:tc>
        <w:tc>
          <w:tcPr>
            <w:tcW w:type="dxa" w:w="2160"/>
          </w:tcPr>
          <w:p>
            <w:r>
              <w:t>Yes — GitLab</w:t>
            </w:r>
          </w:p>
        </w:tc>
      </w:tr>
      <w:tr>
        <w:tc>
          <w:tcPr>
            <w:tcW w:type="dxa" w:w="2160"/>
          </w:tcPr>
          <w:p>
            <w:r>
              <w:t>V2 UI (UP)</w:t>
            </w:r>
          </w:p>
        </w:tc>
        <w:tc>
          <w:tcPr>
            <w:tcW w:type="dxa" w:w="2160"/>
          </w:tcPr>
          <w:p>
            <w:r>
              <w:t>qTest inventory share</w:t>
            </w:r>
          </w:p>
        </w:tc>
        <w:tc>
          <w:tcPr>
            <w:tcW w:type="dxa" w:w="2160"/>
          </w:tcPr>
          <w:p>
            <w:r>
              <w:t>36.0% (268/744)</w:t>
            </w:r>
          </w:p>
        </w:tc>
        <w:tc>
          <w:tcPr>
            <w:tcW w:type="dxa" w:w="2160"/>
          </w:tcPr>
          <w:p>
            <w:r>
              <w:t>Jenkins — TBD</w:t>
            </w:r>
          </w:p>
        </w:tc>
      </w:tr>
      <w:tr>
        <w:tc>
          <w:tcPr>
            <w:tcW w:type="dxa" w:w="2160"/>
          </w:tcPr>
          <w:p>
            <w:r>
              <w:t>Mobile 2 API</w:t>
            </w:r>
          </w:p>
        </w:tc>
        <w:tc>
          <w:tcPr>
            <w:tcW w:type="dxa" w:w="2160"/>
          </w:tcPr>
          <w:p>
            <w:r>
              <w:t>Endpoint automation</w:t>
            </w:r>
          </w:p>
        </w:tc>
        <w:tc>
          <w:tcPr>
            <w:tcW w:type="dxa" w:w="2160"/>
          </w:tcPr>
          <w:p>
            <w:r>
              <w:t>100% (24/24)</w:t>
            </w:r>
          </w:p>
        </w:tc>
        <w:tc>
          <w:tcPr>
            <w:tcW w:type="dxa" w:w="2160"/>
          </w:tcPr>
          <w:p>
            <w:r>
              <w:t>No — QA-1405</w:t>
            </w:r>
          </w:p>
        </w:tc>
      </w:tr>
      <w:tr>
        <w:tc>
          <w:tcPr>
            <w:tcW w:type="dxa" w:w="2160"/>
          </w:tcPr>
          <w:p>
            <w:r>
              <w:t>Mobile 1 API</w:t>
            </w:r>
          </w:p>
        </w:tc>
        <w:tc>
          <w:tcPr>
            <w:tcW w:type="dxa" w:w="2160"/>
          </w:tcPr>
          <w:p>
            <w:r>
              <w:t>Endpoint automation</w:t>
            </w:r>
          </w:p>
        </w:tc>
        <w:tc>
          <w:tcPr>
            <w:tcW w:type="dxa" w:w="2160"/>
          </w:tcPr>
          <w:p>
            <w:r>
              <w:t>22.2% (6/27)</w:t>
            </w:r>
          </w:p>
        </w:tc>
        <w:tc>
          <w:tcPr>
            <w:tcW w:type="dxa" w:w="2160"/>
          </w:tcPr>
          <w:p>
            <w:r>
              <w:t>No</w:t>
            </w:r>
          </w:p>
        </w:tc>
      </w:tr>
      <w:tr>
        <w:tc>
          <w:tcPr>
            <w:tcW w:type="dxa" w:w="2160"/>
          </w:tcPr>
          <w:p>
            <w:r>
              <w:t>UP API</w:t>
            </w:r>
          </w:p>
        </w:tc>
        <w:tc>
          <w:tcPr>
            <w:tcW w:type="dxa" w:w="2160"/>
          </w:tcPr>
          <w:p>
            <w:r>
              <w:t>Operations</w:t>
            </w:r>
          </w:p>
        </w:tc>
        <w:tc>
          <w:tcPr>
            <w:tcW w:type="dxa" w:w="2160"/>
          </w:tcPr>
          <w:p>
            <w:r>
              <w:t>11 automated</w:t>
            </w:r>
          </w:p>
        </w:tc>
        <w:tc>
          <w:tcPr>
            <w:tcW w:type="dxa" w:w="2160"/>
          </w:tcPr>
          <w:p>
            <w:r>
              <w:t>Partial</w:t>
            </w:r>
          </w:p>
        </w:tc>
      </w:tr>
      <w:tr>
        <w:tc>
          <w:tcPr>
            <w:tcW w:type="dxa" w:w="2160"/>
          </w:tcPr>
          <w:p>
            <w:r>
              <w:t>Performance</w:t>
            </w:r>
          </w:p>
        </w:tc>
        <w:tc>
          <w:tcPr>
            <w:tcW w:type="dxa" w:w="2160"/>
          </w:tcPr>
          <w:p>
            <w:r>
              <w:t>Journeys</w:t>
            </w:r>
          </w:p>
        </w:tc>
        <w:tc>
          <w:tcPr>
            <w:tcW w:type="dxa" w:w="2160"/>
          </w:tcPr>
          <w:p>
            <w:r>
              <w:t>15 in-scope</w:t>
            </w:r>
          </w:p>
        </w:tc>
        <w:tc>
          <w:tcPr>
            <w:tcW w:type="dxa" w:w="2160"/>
          </w:tcPr>
          <w:p>
            <w:r>
              <w:t>IDP scheduled</w:t>
            </w:r>
          </w:p>
        </w:tc>
      </w:tr>
    </w:tbl>
    <w:p/>
    <w:p>
      <w:pPr>
        <w:pStyle w:val="Heading1"/>
      </w:pPr>
      <w:r>
        <w:t>CI/CD Integration</w:t>
      </w:r>
    </w:p>
    <w:p>
      <w:r>
        <w:t>GitLab: V3 scheduled_regression_job (hard gate) and api-test-automation metadataweb Stage1 nightly. GitHub Actions: Mobile 2 workflow documented but not in repository. Jenkins: IDP performance scheduled weekdays; MSC endurance manual; V2/Ant targets exist.</w:t>
      </w:r>
    </w:p>
    <w:p>
      <w:pPr>
        <w:pStyle w:val="Heading1"/>
      </w:pPr>
      <w:r>
        <w:t>Key Gaps</w:t>
      </w:r>
    </w:p>
    <w:p>
      <w:pPr>
        <w:pStyle w:val="ListBullet"/>
      </w:pPr>
      <w:r>
        <w:t>Mobile 2 GitLab nightly not implemented (QA-1405)</w:t>
      </w:r>
    </w:p>
    <w:p>
      <w:pPr>
        <w:pStyle w:val="ListBullet"/>
      </w:pPr>
      <w:r>
        <w:t>Mobile 1 — 21 of 27 endpoints not automated</w:t>
      </w:r>
    </w:p>
    <w:p>
      <w:pPr>
        <w:pStyle w:val="ListBullet"/>
      </w:pPr>
      <w:r>
        <w:t>ASTRO and full V2 backoffice not on V3 GitLab schedule</w:t>
      </w:r>
    </w:p>
    <w:p>
      <w:pPr>
        <w:pStyle w:val="ListBullet"/>
      </w:pPr>
      <w:r>
        <w:t>COPACS — no automation identified</w:t>
      </w:r>
    </w:p>
    <w:p>
      <w:pPr>
        <w:pStyle w:val="ListBullet"/>
      </w:pPr>
      <w:r>
        <w:t>No unified GS denominator for one headline %</w:t>
      </w:r>
    </w:p>
    <w:p>
      <w:pPr>
        <w:pStyle w:val="Heading1"/>
      </w:pPr>
      <w:r>
        <w:t>Leadership Decisions Required</w:t>
      </w:r>
    </w:p>
    <w:p>
      <w:pPr>
        <w:pStyle w:val="ListNumber"/>
      </w:pPr>
      <w:r>
        <w:t>Prioritize Mobile 2 GitLab nightly as MSC API gate</w:t>
      </w:r>
    </w:p>
    <w:p>
      <w:pPr>
        <w:pStyle w:val="ListNumber"/>
      </w:pPr>
      <w:r>
        <w:t>Confirm Mobile 1 sprint scope and target endpoints</w:t>
      </w:r>
    </w:p>
    <w:p>
      <w:pPr>
        <w:pStyle w:val="ListNumber"/>
      </w:pPr>
      <w:r>
        <w:t>Clarify code coverage vs test automation coverage terminology</w:t>
      </w:r>
    </w:p>
    <w:p>
      <w:pPr>
        <w:pStyle w:val="ListNumber"/>
      </w:pPr>
      <w:r>
        <w:t>V2/Jenkins vs V3/GitLab consolidation strategy</w:t>
      </w:r>
    </w:p>
    <w:p>
      <w:pPr>
        <w:pStyle w:val="ListNumber"/>
      </w:pPr>
      <w:r>
        <w:t>COPACS and ASTRO scope ownership</w:t>
      </w:r>
    </w:p>
    <w:p>
      <w:pPr>
        <w:pStyle w:val="Heading1"/>
      </w:pPr>
      <w:r>
        <w:t>Roadmap Horizons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Horizon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Focus</w:t>
            </w:r>
          </w:p>
        </w:tc>
      </w:tr>
      <w:tr>
        <w:tc>
          <w:tcPr>
            <w:tcW w:type="dxa" w:w="4320"/>
          </w:tcPr>
          <w:p>
            <w:r>
              <w:t>0–30 days</w:t>
            </w:r>
          </w:p>
        </w:tc>
        <w:tc>
          <w:tcPr>
            <w:tcW w:type="dxa" w:w="4320"/>
          </w:tcPr>
          <w:p>
            <w:r>
              <w:t>M2 CI nightly, evidence refresh, M1 sprint, CI inventory</w:t>
            </w:r>
          </w:p>
        </w:tc>
      </w:tr>
      <w:tr>
        <w:tc>
          <w:tcPr>
            <w:tcW w:type="dxa" w:w="4320"/>
          </w:tcPr>
          <w:p>
            <w:r>
              <w:t>30–90 days</w:t>
            </w:r>
          </w:p>
        </w:tc>
        <w:tc>
          <w:tcPr>
            <w:tcW w:type="dxa" w:w="4320"/>
          </w:tcPr>
          <w:p>
            <w:r>
              <w:t>M1 IDP, perf schedule, ASTRO/COPACS scope, qTest mapping</w:t>
            </w:r>
          </w:p>
        </w:tc>
      </w:tr>
      <w:tr>
        <w:tc>
          <w:tcPr>
            <w:tcW w:type="dxa" w:w="4320"/>
          </w:tcPr>
          <w:p>
            <w:r>
              <w:t>90+ days</w:t>
            </w:r>
          </w:p>
        </w:tc>
        <w:tc>
          <w:tcPr>
            <w:tcW w:type="dxa" w:w="4320"/>
          </w:tcPr>
          <w:p>
            <w:r>
              <w:t>Enrollment API, microservice gates, quarterly GS roadmap</w:t>
            </w:r>
          </w:p>
        </w:tc>
      </w:tr>
    </w:tbl>
    <w:p/>
    <w:p/>
    <w:p>
      <w:r>
        <w:rPr>
          <w:i/>
        </w:rPr>
        <w:t>Full detail: qa-automation-kb/government-savings-automation-assessment/ including Excel matrix and CSV inventories.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800" w:bottom="1134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161"/>
        <w:sz w:val="18"/>
      </w:rPr>
      <w:t xml:space="preserve">Confidential — Internal Use  |  July 20, 2026  |  Page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color w:val="003057"/>
        <w:sz w:val="18"/>
      </w:rPr>
      <w:t>Ascensus Government Savings  |  Automation Coverage Assessment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