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68"/>
      </w:tblGrid>
      <w:tr>
        <w:tc>
          <w:tcPr>
            <w:tcW w:type="dxa" w:w="10368"/>
            <w:shd w:fill="1F4E79"/>
          </w:tcPr>
          <w:p>
            <w:pPr>
              <w:jc w:val="center"/>
            </w:pPr>
            <w:r>
              <w:rPr>
                <w:b/>
                <w:color w:val="FFFFFF"/>
                <w:sz w:val="36"/>
              </w:rPr>
              <w:t>Mobile Microservices Migration Roadmap</w:t>
            </w:r>
          </w:p>
          <w:p>
            <w:pPr>
              <w:jc w:val="center"/>
            </w:pPr>
            <w:r>
              <w:rPr>
                <w:color w:val="FFFFFF"/>
                <w:sz w:val="20"/>
              </w:rPr>
              <w:t>Phases, Timeline, Effort, and Delivery Milestones</w:t>
            </w:r>
          </w:p>
        </w:tc>
      </w:tr>
    </w:tbl>
    <w:p/>
    <w:p>
      <w:pPr>
        <w:pStyle w:val="Heading1"/>
      </w:pPr>
      <w:r>
        <w:t>1. Execution Model</w:t>
      </w:r>
    </w:p>
    <w:p>
      <w:pPr>
        <w:pStyle w:val="IntenseQuote"/>
      </w:pPr>
      <w:r>
        <w:rPr>
          <w:rFonts w:ascii="Consolas" w:hAnsi="Consolas" w:eastAsia="Consolas"/>
          <w:sz w:val="18"/>
        </w:rPr>
        <w:t>Discovery</w:t>
        <w:br/>
      </w:r>
      <w:r>
        <w:rPr>
          <w:rFonts w:ascii="Consolas" w:hAnsi="Consolas" w:eastAsia="Consolas"/>
          <w:sz w:val="18"/>
        </w:rPr>
        <w:t xml:space="preserve">  -&gt; Target Framework Discovery</w:t>
        <w:br/>
      </w:r>
      <w:r>
        <w:rPr>
          <w:rFonts w:ascii="Consolas" w:hAnsi="Consolas" w:eastAsia="Consolas"/>
          <w:sz w:val="18"/>
        </w:rPr>
        <w:t xml:space="preserve">  -&gt; Migration Design</w:t>
        <w:br/>
      </w:r>
      <w:r>
        <w:rPr>
          <w:rFonts w:ascii="Consolas" w:hAnsi="Consolas" w:eastAsia="Consolas"/>
          <w:sz w:val="18"/>
        </w:rPr>
        <w:t xml:space="preserve">  -&gt; Vertical Slice</w:t>
        <w:br/>
      </w:r>
      <w:r>
        <w:rPr>
          <w:rFonts w:ascii="Consolas" w:hAnsi="Consolas" w:eastAsia="Consolas"/>
          <w:sz w:val="18"/>
        </w:rPr>
        <w:t xml:space="preserve">  -&gt; Full Unite Enrollment Migration</w:t>
        <w:br/>
      </w:r>
      <w:r>
        <w:rPr>
          <w:rFonts w:ascii="Consolas" w:hAnsi="Consolas" w:eastAsia="Consolas"/>
          <w:sz w:val="18"/>
        </w:rPr>
        <w:t xml:space="preserve">  -&gt; Pipeline + Regression Suite</w:t>
        <w:br/>
      </w:r>
      <w:r>
        <w:rPr>
          <w:rFonts w:ascii="Consolas" w:hAnsi="Consolas" w:eastAsia="Consolas"/>
          <w:sz w:val="18"/>
        </w:rPr>
        <w:t xml:space="preserve">  -&gt; Repeat for Mobile 1</w:t>
        <w:br/>
      </w:r>
      <w:r>
        <w:rPr>
          <w:rFonts w:ascii="Consolas" w:hAnsi="Consolas" w:eastAsia="Consolas"/>
          <w:sz w:val="18"/>
        </w:rPr>
        <w:t xml:space="preserve">  -&gt; Repeat for Mobile 2</w:t>
        <w:br/>
      </w:r>
    </w:p>
    <w:p>
      <w:pPr>
        <w:pStyle w:val="Heading1"/>
      </w:pPr>
      <w:r>
        <w:t>2. Phase Plan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vAlign w:val="center"/>
            <w:shd w:fill="1F4E79"/>
          </w:tcPr>
          <w:p>
            <w:pPr>
              <w:spacing w:after="0"/>
            </w:pPr>
            <w:r/>
            <w:r>
              <w:rPr>
                <w:b/>
                <w:color w:val="FFFFFF"/>
              </w:rPr>
              <w:t>Phase</w:t>
            </w:r>
          </w:p>
        </w:tc>
        <w:tc>
          <w:tcPr>
            <w:tcW w:type="dxa" w:w="2304"/>
            <w:vAlign w:val="center"/>
            <w:shd w:fill="1F4E79"/>
          </w:tcPr>
          <w:p>
            <w:pPr>
              <w:spacing w:after="0"/>
            </w:pPr>
            <w:r/>
            <w:r>
              <w:rPr>
                <w:b/>
                <w:color w:val="FFFFFF"/>
              </w:rPr>
              <w:t>Name</w:t>
            </w:r>
          </w:p>
        </w:tc>
        <w:tc>
          <w:tcPr>
            <w:tcW w:type="dxa" w:w="4320"/>
            <w:vAlign w:val="center"/>
            <w:shd w:fill="1F4E79"/>
          </w:tcPr>
          <w:p>
            <w:pPr>
              <w:spacing w:after="0"/>
            </w:pPr>
            <w:r/>
            <w:r>
              <w:rPr>
                <w:b/>
                <w:color w:val="FFFFFF"/>
              </w:rPr>
              <w:t>Purpose</w:t>
            </w:r>
          </w:p>
        </w:tc>
        <w:tc>
          <w:tcPr>
            <w:tcW w:type="dxa" w:w="3600"/>
            <w:vAlign w:val="center"/>
            <w:shd w:fill="1F4E79"/>
          </w:tcPr>
          <w:p>
            <w:pPr>
              <w:spacing w:after="0"/>
            </w:pPr>
            <w:r/>
            <w:r>
              <w:rPr>
                <w:b/>
                <w:color w:val="FFFFFF"/>
              </w:rPr>
              <w:t>Output</w:t>
            </w:r>
          </w:p>
        </w:tc>
      </w:tr>
      <w:tr>
        <w:tc>
          <w:tcPr>
            <w:tcW w:type="dxa" w:w="1008"/>
            <w:vAlign w:val="center"/>
          </w:tcPr>
          <w:p>
            <w:pPr>
              <w:spacing w:after="0"/>
            </w:pPr>
            <w:r/>
            <w:r>
              <w:rPr>
                <w:b w:val="0"/>
              </w:rPr>
              <w:t>1</w:t>
            </w:r>
          </w:p>
        </w:tc>
        <w:tc>
          <w:tcPr>
            <w:tcW w:type="dxa" w:w="2304"/>
            <w:vAlign w:val="center"/>
          </w:tcPr>
          <w:p>
            <w:pPr>
              <w:spacing w:after="0"/>
            </w:pPr>
            <w:r/>
            <w:r>
              <w:rPr>
                <w:b w:val="0"/>
              </w:rPr>
              <w:t>Legacy Discovery</w:t>
            </w:r>
          </w:p>
        </w:tc>
        <w:tc>
          <w:tcPr>
            <w:tcW w:type="dxa" w:w="4320"/>
            <w:vAlign w:val="center"/>
          </w:tcPr>
          <w:p>
            <w:pPr>
              <w:spacing w:after="0"/>
            </w:pPr>
            <w:r/>
            <w:r>
              <w:rPr>
                <w:b w:val="0"/>
              </w:rPr>
              <w:t>Understand existing Unite Enrollment test assets.</w:t>
            </w:r>
          </w:p>
        </w:tc>
        <w:tc>
          <w:tcPr>
            <w:tcW w:type="dxa" w:w="3600"/>
            <w:vAlign w:val="center"/>
          </w:tcPr>
          <w:p>
            <w:pPr>
              <w:spacing w:after="0"/>
            </w:pPr>
            <w:r/>
            <w:r>
              <w:rPr>
                <w:b w:val="0"/>
              </w:rPr>
              <w:t>Inventory, maps, dependency list, risks.</w:t>
            </w:r>
          </w:p>
        </w:tc>
      </w:tr>
      <w:tr>
        <w:tc>
          <w:tcPr>
            <w:tcW w:type="dxa" w:w="1008"/>
            <w:vAlign w:val="center"/>
          </w:tcPr>
          <w:p>
            <w:pPr>
              <w:spacing w:after="0"/>
            </w:pPr>
            <w:r/>
            <w:r>
              <w:rPr>
                <w:b w:val="0"/>
              </w:rPr>
              <w:t>2</w:t>
            </w:r>
          </w:p>
        </w:tc>
        <w:tc>
          <w:tcPr>
            <w:tcW w:type="dxa" w:w="2304"/>
            <w:vAlign w:val="center"/>
          </w:tcPr>
          <w:p>
            <w:pPr>
              <w:spacing w:after="0"/>
            </w:pPr>
            <w:r/>
            <w:r>
              <w:rPr>
                <w:b w:val="0"/>
              </w:rPr>
              <w:t>Target Framework Discovery</w:t>
            </w:r>
          </w:p>
        </w:tc>
        <w:tc>
          <w:tcPr>
            <w:tcW w:type="dxa" w:w="4320"/>
            <w:vAlign w:val="center"/>
          </w:tcPr>
          <w:p>
            <w:pPr>
              <w:spacing w:after="0"/>
            </w:pPr>
            <w:r/>
            <w:r>
              <w:rPr>
                <w:b w:val="0"/>
              </w:rPr>
              <w:t>Understand current API framework standards.</w:t>
            </w:r>
          </w:p>
        </w:tc>
        <w:tc>
          <w:tcPr>
            <w:tcW w:type="dxa" w:w="3600"/>
            <w:vAlign w:val="center"/>
          </w:tcPr>
          <w:p>
            <w:pPr>
              <w:spacing w:after="0"/>
            </w:pPr>
            <w:r/>
            <w:r>
              <w:rPr>
                <w:b w:val="0"/>
              </w:rPr>
              <w:t>Framework alignment notes and reusable patterns.</w:t>
            </w:r>
          </w:p>
        </w:tc>
      </w:tr>
      <w:tr>
        <w:tc>
          <w:tcPr>
            <w:tcW w:type="dxa" w:w="1008"/>
            <w:vAlign w:val="center"/>
          </w:tcPr>
          <w:p>
            <w:pPr>
              <w:spacing w:after="0"/>
            </w:pPr>
            <w:r/>
            <w:r>
              <w:rPr>
                <w:b w:val="0"/>
              </w:rPr>
              <w:t>3</w:t>
            </w:r>
          </w:p>
        </w:tc>
        <w:tc>
          <w:tcPr>
            <w:tcW w:type="dxa" w:w="2304"/>
            <w:vAlign w:val="center"/>
          </w:tcPr>
          <w:p>
            <w:pPr>
              <w:spacing w:after="0"/>
            </w:pPr>
            <w:r/>
            <w:r>
              <w:rPr>
                <w:b w:val="0"/>
              </w:rPr>
              <w:t>Migration Design</w:t>
            </w:r>
          </w:p>
        </w:tc>
        <w:tc>
          <w:tcPr>
            <w:tcW w:type="dxa" w:w="4320"/>
            <w:vAlign w:val="center"/>
          </w:tcPr>
          <w:p>
            <w:pPr>
              <w:spacing w:after="0"/>
            </w:pPr>
            <w:r/>
            <w:r>
              <w:rPr>
                <w:b w:val="0"/>
              </w:rPr>
              <w:t>Define source-to-target mapping.</w:t>
            </w:r>
          </w:p>
        </w:tc>
        <w:tc>
          <w:tcPr>
            <w:tcW w:type="dxa" w:w="3600"/>
            <w:vAlign w:val="center"/>
          </w:tcPr>
          <w:p>
            <w:pPr>
              <w:spacing w:after="0"/>
            </w:pPr>
            <w:r/>
            <w:r>
              <w:rPr>
                <w:b w:val="0"/>
              </w:rPr>
              <w:t>Migration blueprint and first scenario list.</w:t>
            </w:r>
          </w:p>
        </w:tc>
      </w:tr>
      <w:tr>
        <w:tc>
          <w:tcPr>
            <w:tcW w:type="dxa" w:w="1008"/>
            <w:vAlign w:val="center"/>
          </w:tcPr>
          <w:p>
            <w:pPr>
              <w:spacing w:after="0"/>
            </w:pPr>
            <w:r/>
            <w:r>
              <w:rPr>
                <w:b w:val="0"/>
              </w:rPr>
              <w:t>4</w:t>
            </w:r>
          </w:p>
        </w:tc>
        <w:tc>
          <w:tcPr>
            <w:tcW w:type="dxa" w:w="2304"/>
            <w:vAlign w:val="center"/>
          </w:tcPr>
          <w:p>
            <w:pPr>
              <w:spacing w:after="0"/>
            </w:pPr>
            <w:r/>
            <w:r>
              <w:rPr>
                <w:b w:val="0"/>
              </w:rPr>
              <w:t>Vertical Slice</w:t>
            </w:r>
          </w:p>
        </w:tc>
        <w:tc>
          <w:tcPr>
            <w:tcW w:type="dxa" w:w="4320"/>
            <w:vAlign w:val="center"/>
          </w:tcPr>
          <w:p>
            <w:pPr>
              <w:spacing w:after="0"/>
            </w:pPr>
            <w:r/>
            <w:r>
              <w:rPr>
                <w:b w:val="0"/>
              </w:rPr>
              <w:t>Move 3-5 scenarios first.</w:t>
            </w:r>
          </w:p>
        </w:tc>
        <w:tc>
          <w:tcPr>
            <w:tcW w:type="dxa" w:w="3600"/>
            <w:vAlign w:val="center"/>
          </w:tcPr>
          <w:p>
            <w:pPr>
              <w:spacing w:after="0"/>
            </w:pPr>
            <w:r/>
            <w:r>
              <w:rPr>
                <w:b w:val="0"/>
              </w:rPr>
              <w:t>Working end-to-end execution in target repo.</w:t>
            </w:r>
          </w:p>
        </w:tc>
      </w:tr>
      <w:tr>
        <w:tc>
          <w:tcPr>
            <w:tcW w:type="dxa" w:w="1008"/>
            <w:vAlign w:val="center"/>
          </w:tcPr>
          <w:p>
            <w:pPr>
              <w:spacing w:after="0"/>
            </w:pPr>
            <w:r/>
            <w:r>
              <w:rPr>
                <w:b w:val="0"/>
              </w:rPr>
              <w:t>5</w:t>
            </w:r>
          </w:p>
        </w:tc>
        <w:tc>
          <w:tcPr>
            <w:tcW w:type="dxa" w:w="2304"/>
            <w:vAlign w:val="center"/>
          </w:tcPr>
          <w:p>
            <w:pPr>
              <w:spacing w:after="0"/>
            </w:pPr>
            <w:r/>
            <w:r>
              <w:rPr>
                <w:b w:val="0"/>
              </w:rPr>
              <w:t>Full Module Migration</w:t>
            </w:r>
          </w:p>
        </w:tc>
        <w:tc>
          <w:tcPr>
            <w:tcW w:type="dxa" w:w="4320"/>
            <w:vAlign w:val="center"/>
          </w:tcPr>
          <w:p>
            <w:pPr>
              <w:spacing w:after="0"/>
            </w:pPr>
            <w:r/>
            <w:r>
              <w:rPr>
                <w:b w:val="0"/>
              </w:rPr>
              <w:t>Move remaining useful scenarios.</w:t>
            </w:r>
          </w:p>
        </w:tc>
        <w:tc>
          <w:tcPr>
            <w:tcW w:type="dxa" w:w="3600"/>
            <w:vAlign w:val="center"/>
          </w:tcPr>
          <w:p>
            <w:pPr>
              <w:spacing w:after="0"/>
            </w:pPr>
            <w:r/>
            <w:r>
              <w:rPr>
                <w:b w:val="0"/>
              </w:rPr>
              <w:t>Stable Unite Enrollment smoke/regression suite.</w:t>
            </w:r>
          </w:p>
        </w:tc>
      </w:tr>
      <w:tr>
        <w:tc>
          <w:tcPr>
            <w:tcW w:type="dxa" w:w="1008"/>
            <w:vAlign w:val="center"/>
          </w:tcPr>
          <w:p>
            <w:pPr>
              <w:spacing w:after="0"/>
            </w:pPr>
            <w:r/>
            <w:r>
              <w:rPr>
                <w:b w:val="0"/>
              </w:rPr>
              <w:t>6</w:t>
            </w:r>
          </w:p>
        </w:tc>
        <w:tc>
          <w:tcPr>
            <w:tcW w:type="dxa" w:w="2304"/>
            <w:vAlign w:val="center"/>
          </w:tcPr>
          <w:p>
            <w:pPr>
              <w:spacing w:after="0"/>
            </w:pPr>
            <w:r/>
            <w:r>
              <w:rPr>
                <w:b w:val="0"/>
              </w:rPr>
              <w:t>Pipeline Integration</w:t>
            </w:r>
          </w:p>
        </w:tc>
        <w:tc>
          <w:tcPr>
            <w:tcW w:type="dxa" w:w="4320"/>
            <w:vAlign w:val="center"/>
          </w:tcPr>
          <w:p>
            <w:pPr>
              <w:spacing w:after="0"/>
            </w:pPr>
            <w:r/>
            <w:r>
              <w:rPr>
                <w:b w:val="0"/>
              </w:rPr>
              <w:t>Add CI execution and reporting.</w:t>
            </w:r>
          </w:p>
        </w:tc>
        <w:tc>
          <w:tcPr>
            <w:tcW w:type="dxa" w:w="3600"/>
            <w:vAlign w:val="center"/>
          </w:tcPr>
          <w:p>
            <w:pPr>
              <w:spacing w:after="0"/>
            </w:pPr>
            <w:r/>
            <w:r>
              <w:rPr>
                <w:b w:val="0"/>
              </w:rPr>
              <w:t>Executable pipeline with artifacts.</w:t>
            </w:r>
          </w:p>
        </w:tc>
      </w:tr>
      <w:tr>
        <w:tc>
          <w:tcPr>
            <w:tcW w:type="dxa" w:w="1008"/>
            <w:vAlign w:val="center"/>
          </w:tcPr>
          <w:p>
            <w:pPr>
              <w:spacing w:after="0"/>
            </w:pPr>
            <w:r/>
            <w:r>
              <w:rPr>
                <w:b w:val="0"/>
              </w:rPr>
              <w:t>7</w:t>
            </w:r>
          </w:p>
        </w:tc>
        <w:tc>
          <w:tcPr>
            <w:tcW w:type="dxa" w:w="2304"/>
            <w:vAlign w:val="center"/>
          </w:tcPr>
          <w:p>
            <w:pPr>
              <w:spacing w:after="0"/>
            </w:pPr>
            <w:r/>
            <w:r>
              <w:rPr>
                <w:b w:val="0"/>
              </w:rPr>
              <w:t>Scale to Next Modules</w:t>
            </w:r>
          </w:p>
        </w:tc>
        <w:tc>
          <w:tcPr>
            <w:tcW w:type="dxa" w:w="4320"/>
            <w:vAlign w:val="center"/>
          </w:tcPr>
          <w:p>
            <w:pPr>
              <w:spacing w:after="0"/>
            </w:pPr>
            <w:r/>
            <w:r>
              <w:rPr>
                <w:b w:val="0"/>
              </w:rPr>
              <w:t>Repeat same pattern for Mobile 1 and Mobile 2.</w:t>
            </w:r>
          </w:p>
        </w:tc>
        <w:tc>
          <w:tcPr>
            <w:tcW w:type="dxa" w:w="3600"/>
            <w:vAlign w:val="center"/>
          </w:tcPr>
          <w:p>
            <w:pPr>
              <w:spacing w:after="0"/>
            </w:pPr>
            <w:r/>
            <w:r>
              <w:rPr>
                <w:b w:val="0"/>
              </w:rPr>
              <w:t>Scaled mobile microservices regression coverage.</w:t>
            </w:r>
          </w:p>
        </w:tc>
      </w:tr>
    </w:tbl>
    <w:p/>
    <w:p>
      <w:pPr>
        <w:pStyle w:val="Heading1"/>
      </w:pPr>
      <w:r>
        <w:t>3. One-Resource Estimate</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1F4E79"/>
          </w:tcPr>
          <w:p>
            <w:pPr>
              <w:spacing w:after="0"/>
            </w:pPr>
            <w:r/>
            <w:r>
              <w:rPr>
                <w:b/>
                <w:color w:val="FFFFFF"/>
              </w:rPr>
              <w:t>Workstream</w:t>
            </w:r>
          </w:p>
        </w:tc>
        <w:tc>
          <w:tcPr>
            <w:tcW w:type="dxa" w:w="2592"/>
            <w:vAlign w:val="center"/>
            <w:shd w:fill="1F4E79"/>
          </w:tcPr>
          <w:p>
            <w:pPr>
              <w:spacing w:after="0"/>
            </w:pPr>
            <w:r/>
            <w:r>
              <w:rPr>
                <w:b/>
                <w:color w:val="FFFFFF"/>
              </w:rPr>
              <w:t>Estimated Duration</w:t>
            </w:r>
          </w:p>
        </w:tc>
        <w:tc>
          <w:tcPr>
            <w:tcW w:type="dxa" w:w="5328"/>
            <w:vAlign w:val="center"/>
            <w:shd w:fill="1F4E79"/>
          </w:tcPr>
          <w:p>
            <w:pPr>
              <w:spacing w:after="0"/>
            </w:pPr>
            <w:r/>
            <w:r>
              <w:rPr>
                <w:b/>
                <w:color w:val="FFFFFF"/>
              </w:rPr>
              <w:t>Notes</w:t>
            </w:r>
          </w:p>
        </w:tc>
      </w:tr>
      <w:tr>
        <w:tc>
          <w:tcPr>
            <w:tcW w:type="dxa" w:w="2880"/>
            <w:vAlign w:val="center"/>
          </w:tcPr>
          <w:p>
            <w:pPr>
              <w:spacing w:after="0"/>
            </w:pPr>
            <w:r/>
            <w:r>
              <w:rPr>
                <w:b w:val="0"/>
              </w:rPr>
              <w:t>Unite Enrollment</w:t>
            </w:r>
          </w:p>
        </w:tc>
        <w:tc>
          <w:tcPr>
            <w:tcW w:type="dxa" w:w="2592"/>
            <w:vAlign w:val="center"/>
          </w:tcPr>
          <w:p>
            <w:pPr>
              <w:spacing w:after="0"/>
            </w:pPr>
            <w:r/>
            <w:r>
              <w:rPr>
                <w:b w:val="0"/>
              </w:rPr>
              <w:t>3-5 weeks</w:t>
            </w:r>
          </w:p>
        </w:tc>
        <w:tc>
          <w:tcPr>
            <w:tcW w:type="dxa" w:w="5328"/>
            <w:vAlign w:val="center"/>
          </w:tcPr>
          <w:p>
            <w:pPr>
              <w:spacing w:after="0"/>
            </w:pPr>
            <w:r/>
            <w:r>
              <w:rPr>
                <w:b w:val="0"/>
              </w:rPr>
              <w:t>Includes discovery, vertical slice, migration, stabilization, pipeline, documentation.</w:t>
            </w:r>
          </w:p>
        </w:tc>
      </w:tr>
      <w:tr>
        <w:tc>
          <w:tcPr>
            <w:tcW w:type="dxa" w:w="2880"/>
            <w:vAlign w:val="center"/>
          </w:tcPr>
          <w:p>
            <w:pPr>
              <w:spacing w:after="0"/>
            </w:pPr>
            <w:r/>
            <w:r>
              <w:rPr>
                <w:b w:val="0"/>
              </w:rPr>
              <w:t>Unite Mobile 1</w:t>
            </w:r>
          </w:p>
        </w:tc>
        <w:tc>
          <w:tcPr>
            <w:tcW w:type="dxa" w:w="2592"/>
            <w:vAlign w:val="center"/>
          </w:tcPr>
          <w:p>
            <w:pPr>
              <w:spacing w:after="0"/>
            </w:pPr>
            <w:r/>
            <w:r>
              <w:rPr>
                <w:b w:val="0"/>
              </w:rPr>
              <w:t>2-4 weeks</w:t>
            </w:r>
          </w:p>
        </w:tc>
        <w:tc>
          <w:tcPr>
            <w:tcW w:type="dxa" w:w="5328"/>
            <w:vAlign w:val="center"/>
          </w:tcPr>
          <w:p>
            <w:pPr>
              <w:spacing w:after="0"/>
            </w:pPr>
            <w:r/>
            <w:r>
              <w:rPr>
                <w:b w:val="0"/>
              </w:rPr>
              <w:t>Faster after Enrollment pattern is stable.</w:t>
            </w:r>
          </w:p>
        </w:tc>
      </w:tr>
      <w:tr>
        <w:tc>
          <w:tcPr>
            <w:tcW w:type="dxa" w:w="2880"/>
            <w:vAlign w:val="center"/>
          </w:tcPr>
          <w:p>
            <w:pPr>
              <w:spacing w:after="0"/>
            </w:pPr>
            <w:r/>
            <w:r>
              <w:rPr>
                <w:b w:val="0"/>
              </w:rPr>
              <w:t>Unite Mobile 2</w:t>
            </w:r>
          </w:p>
        </w:tc>
        <w:tc>
          <w:tcPr>
            <w:tcW w:type="dxa" w:w="2592"/>
            <w:vAlign w:val="center"/>
          </w:tcPr>
          <w:p>
            <w:pPr>
              <w:spacing w:after="0"/>
            </w:pPr>
            <w:r/>
            <w:r>
              <w:rPr>
                <w:b w:val="0"/>
              </w:rPr>
              <w:t>2-4 weeks</w:t>
            </w:r>
          </w:p>
        </w:tc>
        <w:tc>
          <w:tcPr>
            <w:tcW w:type="dxa" w:w="5328"/>
            <w:vAlign w:val="center"/>
          </w:tcPr>
          <w:p>
            <w:pPr>
              <w:spacing w:after="0"/>
            </w:pPr>
            <w:r/>
            <w:r>
              <w:rPr>
                <w:b w:val="0"/>
              </w:rPr>
              <w:t>Faster after Enrollment pattern is stable.</w:t>
            </w:r>
          </w:p>
        </w:tc>
      </w:tr>
      <w:tr>
        <w:tc>
          <w:tcPr>
            <w:tcW w:type="dxa" w:w="2880"/>
            <w:vAlign w:val="center"/>
          </w:tcPr>
          <w:p>
            <w:pPr>
              <w:spacing w:after="0"/>
            </w:pPr>
            <w:r/>
            <w:r>
              <w:rPr>
                <w:b w:val="0"/>
              </w:rPr>
              <w:t>Total for three modules</w:t>
            </w:r>
          </w:p>
        </w:tc>
        <w:tc>
          <w:tcPr>
            <w:tcW w:type="dxa" w:w="2592"/>
            <w:vAlign w:val="center"/>
          </w:tcPr>
          <w:p>
            <w:pPr>
              <w:spacing w:after="0"/>
            </w:pPr>
            <w:r/>
            <w:r>
              <w:rPr>
                <w:b w:val="0"/>
              </w:rPr>
              <w:t>7-13 weeks</w:t>
            </w:r>
          </w:p>
        </w:tc>
        <w:tc>
          <w:tcPr>
            <w:tcW w:type="dxa" w:w="5328"/>
            <w:vAlign w:val="center"/>
          </w:tcPr>
          <w:p>
            <w:pPr>
              <w:spacing w:after="0"/>
            </w:pPr>
            <w:r/>
            <w:r>
              <w:rPr>
                <w:b w:val="0"/>
              </w:rPr>
              <w:t>Risk-adjusted estimate can extend to 10-14 weeks depending on data/env blockers.</w:t>
            </w:r>
          </w:p>
        </w:tc>
      </w:tr>
    </w:tbl>
    <w:p/>
    <w:p>
      <w:pPr>
        <w:pStyle w:val="Heading1"/>
      </w:pPr>
      <w:r>
        <w:t>4. Milestones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4E79"/>
          </w:tcPr>
          <w:p>
            <w:pPr>
              <w:spacing w:after="0"/>
            </w:pPr>
            <w:r/>
            <w:r>
              <w:rPr>
                <w:b/>
                <w:color w:val="FFFFFF"/>
              </w:rPr>
              <w:t>Milestone</w:t>
            </w:r>
          </w:p>
        </w:tc>
        <w:tc>
          <w:tcPr>
            <w:tcW w:type="dxa" w:w="7776"/>
            <w:vAlign w:val="center"/>
            <w:shd w:fill="1F4E79"/>
          </w:tcPr>
          <w:p>
            <w:pPr>
              <w:spacing w:after="0"/>
            </w:pPr>
            <w:r/>
            <w:r>
              <w:rPr>
                <w:b/>
                <w:color w:val="FFFFFF"/>
              </w:rPr>
              <w:t>Definition of Done</w:t>
            </w:r>
          </w:p>
        </w:tc>
      </w:tr>
      <w:tr>
        <w:tc>
          <w:tcPr>
            <w:tcW w:type="dxa" w:w="2880"/>
            <w:vAlign w:val="center"/>
          </w:tcPr>
          <w:p>
            <w:pPr>
              <w:spacing w:after="0"/>
            </w:pPr>
            <w:r/>
            <w:r>
              <w:rPr>
                <w:b w:val="0"/>
              </w:rPr>
              <w:t>M1 - Discovery Complete</w:t>
            </w:r>
          </w:p>
        </w:tc>
        <w:tc>
          <w:tcPr>
            <w:tcW w:type="dxa" w:w="7776"/>
            <w:vAlign w:val="center"/>
          </w:tcPr>
          <w:p>
            <w:pPr>
              <w:spacing w:after="0"/>
            </w:pPr>
            <w:r/>
            <w:r>
              <w:rPr>
                <w:b w:val="0"/>
              </w:rPr>
              <w:t>All feature files, steps, endpoints, configs, SQL, test data, and dependencies documented.</w:t>
            </w:r>
          </w:p>
        </w:tc>
      </w:tr>
      <w:tr>
        <w:tc>
          <w:tcPr>
            <w:tcW w:type="dxa" w:w="2880"/>
            <w:vAlign w:val="center"/>
          </w:tcPr>
          <w:p>
            <w:pPr>
              <w:spacing w:after="0"/>
            </w:pPr>
            <w:r/>
            <w:r>
              <w:rPr>
                <w:b w:val="0"/>
              </w:rPr>
              <w:t>M2 - Target Design Complete</w:t>
            </w:r>
          </w:p>
        </w:tc>
        <w:tc>
          <w:tcPr>
            <w:tcW w:type="dxa" w:w="7776"/>
            <w:vAlign w:val="center"/>
          </w:tcPr>
          <w:p>
            <w:pPr>
              <w:spacing w:after="0"/>
            </w:pPr>
            <w:r/>
            <w:r>
              <w:rPr>
                <w:b w:val="0"/>
              </w:rPr>
              <w:t>Folder structure, package naming, tags, data strategy, and environment strategy approved.</w:t>
            </w:r>
          </w:p>
        </w:tc>
      </w:tr>
      <w:tr>
        <w:tc>
          <w:tcPr>
            <w:tcW w:type="dxa" w:w="2880"/>
            <w:vAlign w:val="center"/>
          </w:tcPr>
          <w:p>
            <w:pPr>
              <w:spacing w:after="0"/>
            </w:pPr>
            <w:r/>
            <w:r>
              <w:rPr>
                <w:b w:val="0"/>
              </w:rPr>
              <w:t>M3 - Vertical Slice Green</w:t>
            </w:r>
          </w:p>
        </w:tc>
        <w:tc>
          <w:tcPr>
            <w:tcW w:type="dxa" w:w="7776"/>
            <w:vAlign w:val="center"/>
          </w:tcPr>
          <w:p>
            <w:pPr>
              <w:spacing w:after="0"/>
            </w:pPr>
            <w:r/>
            <w:r>
              <w:rPr>
                <w:b w:val="0"/>
              </w:rPr>
              <w:t>3-5 scenarios run locally in target framework against selected environment.</w:t>
            </w:r>
          </w:p>
        </w:tc>
      </w:tr>
      <w:tr>
        <w:tc>
          <w:tcPr>
            <w:tcW w:type="dxa" w:w="2880"/>
            <w:vAlign w:val="center"/>
          </w:tcPr>
          <w:p>
            <w:pPr>
              <w:spacing w:after="0"/>
            </w:pPr>
            <w:r/>
            <w:r>
              <w:rPr>
                <w:b w:val="0"/>
              </w:rPr>
              <w:t>M4 - Smoke Suite Green</w:t>
            </w:r>
          </w:p>
        </w:tc>
        <w:tc>
          <w:tcPr>
            <w:tcW w:type="dxa" w:w="7776"/>
            <w:vAlign w:val="center"/>
          </w:tcPr>
          <w:p>
            <w:pPr>
              <w:spacing w:after="0"/>
            </w:pPr>
            <w:r/>
            <w:r>
              <w:rPr>
                <w:b w:val="0"/>
              </w:rPr>
              <w:t>Critical scenarios tagged and executable through Maven.</w:t>
            </w:r>
          </w:p>
        </w:tc>
      </w:tr>
      <w:tr>
        <w:tc>
          <w:tcPr>
            <w:tcW w:type="dxa" w:w="2880"/>
            <w:vAlign w:val="center"/>
          </w:tcPr>
          <w:p>
            <w:pPr>
              <w:spacing w:after="0"/>
            </w:pPr>
            <w:r/>
            <w:r>
              <w:rPr>
                <w:b w:val="0"/>
              </w:rPr>
              <w:t>M5 - Regression Suite Green</w:t>
            </w:r>
          </w:p>
        </w:tc>
        <w:tc>
          <w:tcPr>
            <w:tcW w:type="dxa" w:w="7776"/>
            <w:vAlign w:val="center"/>
          </w:tcPr>
          <w:p>
            <w:pPr>
              <w:spacing w:after="0"/>
            </w:pPr>
            <w:r/>
            <w:r>
              <w:rPr>
                <w:b w:val="0"/>
              </w:rPr>
              <w:t>Full migrated coverage executes with documented exclusions.</w:t>
            </w:r>
          </w:p>
        </w:tc>
      </w:tr>
      <w:tr>
        <w:tc>
          <w:tcPr>
            <w:tcW w:type="dxa" w:w="2880"/>
            <w:vAlign w:val="center"/>
          </w:tcPr>
          <w:p>
            <w:pPr>
              <w:spacing w:after="0"/>
            </w:pPr>
            <w:r/>
            <w:r>
              <w:rPr>
                <w:b w:val="0"/>
              </w:rPr>
              <w:t>M6 - Pipeline Green</w:t>
            </w:r>
          </w:p>
        </w:tc>
        <w:tc>
          <w:tcPr>
            <w:tcW w:type="dxa" w:w="7776"/>
            <w:vAlign w:val="center"/>
          </w:tcPr>
          <w:p>
            <w:pPr>
              <w:spacing w:after="0"/>
            </w:pPr>
            <w:r/>
            <w:r>
              <w:rPr>
                <w:b w:val="0"/>
              </w:rPr>
              <w:t>CI job runs selected module/env/tag and publishes reports.</w:t>
            </w:r>
          </w:p>
        </w:tc>
      </w:tr>
      <w:tr>
        <w:tc>
          <w:tcPr>
            <w:tcW w:type="dxa" w:w="2880"/>
            <w:vAlign w:val="center"/>
          </w:tcPr>
          <w:p>
            <w:pPr>
              <w:spacing w:after="0"/>
            </w:pPr>
            <w:r/>
            <w:r>
              <w:rPr>
                <w:b w:val="0"/>
              </w:rPr>
              <w:t>M7 - Handoff Complete</w:t>
            </w:r>
          </w:p>
        </w:tc>
        <w:tc>
          <w:tcPr>
            <w:tcW w:type="dxa" w:w="7776"/>
            <w:vAlign w:val="center"/>
          </w:tcPr>
          <w:p>
            <w:pPr>
              <w:spacing w:after="0"/>
            </w:pPr>
            <w:r/>
            <w:r>
              <w:rPr>
                <w:b w:val="0"/>
              </w:rPr>
              <w:t>Runbook, tracker, RAID, and leadership summary are updated.</w:t>
            </w:r>
          </w:p>
        </w:tc>
      </w:tr>
    </w:tbl>
    <w:p/>
    <w:p>
      <w:pPr>
        <w:pStyle w:val="Heading1"/>
      </w:pPr>
      <w:r>
        <w:t>5. Reality Check</w:t>
      </w:r>
    </w:p>
    <w:p>
      <w:r>
        <w:t>AI can accelerate inventory, boilerplate creation, refactoring, and documentation. It does not remove engineering validation. Environment issues, data mismatches, authentication behavior, SQL validation, pipeline permissions, and obsolete scenarios still require manual judgment and execution proof.</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