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Mobile Microservices Technical Strategy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Framework Direction, Architecture Rules, and Migration Standards</w:t>
            </w:r>
          </w:p>
        </w:tc>
      </w:tr>
    </w:tbl>
    <w:p/>
    <w:p>
      <w:pPr>
        <w:pStyle w:val="Heading1"/>
      </w:pPr>
      <w:r>
        <w:t>1. Technology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Pros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Cons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Java + Cucumber + Rest Assured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Matches existing framework, team skills, and legacy code style. Lowest migration risk.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Some cleanup needed around data and reusable steps.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Recommended.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Playwright API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Modern, fast, strong API testing capability.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Team/repo mismatch, unnecessary tool change, weak reuse of current assets.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not use now.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Karate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Good for API automation and readable tests.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New framework adoption, migration overhead, team ramp-up.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Consider only later if justified.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Framework rewrite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Clean-slate design.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 risk, high delay, little business value right now.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Avoid.</w:t>
            </w:r>
          </w:p>
        </w:tc>
      </w:tr>
    </w:tbl>
    <w:p/>
    <w:p>
      <w:pPr>
        <w:pStyle w:val="Heading1"/>
      </w:pPr>
      <w:r>
        <w:t>2. Target Module Structure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mobile-automation/</w:t>
        <w:br/>
      </w:r>
      <w:r>
        <w:rPr>
          <w:rFonts w:ascii="Consolas" w:hAnsi="Consolas" w:eastAsia="Consolas"/>
          <w:sz w:val="18"/>
        </w:rPr>
        <w:t>|-- unite-enrollment/</w:t>
        <w:br/>
      </w:r>
      <w:r>
        <w:rPr>
          <w:rFonts w:ascii="Consolas" w:hAnsi="Consolas" w:eastAsia="Consolas"/>
          <w:sz w:val="18"/>
        </w:rPr>
        <w:t>|   |-- features/</w:t>
        <w:br/>
      </w:r>
      <w:r>
        <w:rPr>
          <w:rFonts w:ascii="Consolas" w:hAnsi="Consolas" w:eastAsia="Consolas"/>
          <w:sz w:val="18"/>
        </w:rPr>
        <w:t>|   |-- stepdefs/</w:t>
        <w:br/>
      </w:r>
      <w:r>
        <w:rPr>
          <w:rFonts w:ascii="Consolas" w:hAnsi="Consolas" w:eastAsia="Consolas"/>
          <w:sz w:val="18"/>
        </w:rPr>
        <w:t>|   |-- pojos/</w:t>
        <w:br/>
      </w:r>
      <w:r>
        <w:rPr>
          <w:rFonts w:ascii="Consolas" w:hAnsi="Consolas" w:eastAsia="Consolas"/>
          <w:sz w:val="18"/>
        </w:rPr>
        <w:t>|   |-- test-data/</w:t>
        <w:br/>
      </w:r>
      <w:r>
        <w:rPr>
          <w:rFonts w:ascii="Consolas" w:hAnsi="Consolas" w:eastAsia="Consolas"/>
          <w:sz w:val="18"/>
        </w:rPr>
        <w:t>|   |-- sql/</w:t>
        <w:br/>
      </w:r>
      <w:r>
        <w:rPr>
          <w:rFonts w:ascii="Consolas" w:hAnsi="Consolas" w:eastAsia="Consolas"/>
          <w:sz w:val="18"/>
        </w:rPr>
        <w:t>|   |-- runners/</w:t>
        <w:br/>
      </w:r>
      <w:r>
        <w:rPr>
          <w:rFonts w:ascii="Consolas" w:hAnsi="Consolas" w:eastAsia="Consolas"/>
          <w:sz w:val="18"/>
        </w:rPr>
        <w:t>|   `-- config/</w:t>
        <w:br/>
      </w:r>
      <w:r>
        <w:rPr>
          <w:rFonts w:ascii="Consolas" w:hAnsi="Consolas" w:eastAsia="Consolas"/>
          <w:sz w:val="18"/>
        </w:rPr>
        <w:t>|-- unite-mobile1/</w:t>
        <w:br/>
      </w:r>
      <w:r>
        <w:rPr>
          <w:rFonts w:ascii="Consolas" w:hAnsi="Consolas" w:eastAsia="Consolas"/>
          <w:sz w:val="18"/>
        </w:rPr>
        <w:t>`-- unite-mobile2/</w:t>
        <w:br/>
      </w:r>
    </w:p>
    <w:p>
      <w:pPr>
        <w:pStyle w:val="Heading1"/>
      </w:pPr>
      <w:r>
        <w:t>3. Gherkin Standard</w:t>
      </w:r>
    </w:p>
    <w:p>
      <w:r>
        <w:t>Feature files should describe business behavior and should not carry large request payloads or environment-specific hardcoding.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@mobile @uniteEnrollment @smoke</w:t>
        <w:br/>
      </w:r>
      <w:r>
        <w:rPr>
          <w:rFonts w:ascii="Consolas" w:hAnsi="Consolas" w:eastAsia="Consolas"/>
          <w:sz w:val="18"/>
        </w:rPr>
        <w:t>Scenario: Verify successful enrollment creation</w:t>
        <w:br/>
      </w:r>
      <w:r>
        <w:rPr>
          <w:rFonts w:ascii="Consolas" w:hAnsi="Consolas" w:eastAsia="Consolas"/>
          <w:sz w:val="18"/>
        </w:rPr>
        <w:t xml:space="preserve">  Given I prepare enrollment request using test data "validEnrollmentRequest"</w:t>
        <w:br/>
      </w:r>
      <w:r>
        <w:rPr>
          <w:rFonts w:ascii="Consolas" w:hAnsi="Consolas" w:eastAsia="Consolas"/>
          <w:sz w:val="18"/>
        </w:rPr>
        <w:t xml:space="preserve">  When I submit the enrollment API request</w:t>
        <w:br/>
      </w:r>
      <w:r>
        <w:rPr>
          <w:rFonts w:ascii="Consolas" w:hAnsi="Consolas" w:eastAsia="Consolas"/>
          <w:sz w:val="18"/>
        </w:rPr>
        <w:t xml:space="preserve">  Then the response status should be 200</w:t>
        <w:br/>
      </w:r>
      <w:r>
        <w:rPr>
          <w:rFonts w:ascii="Consolas" w:hAnsi="Consolas" w:eastAsia="Consolas"/>
          <w:sz w:val="18"/>
        </w:rPr>
        <w:t xml:space="preserve">  And the enrollment response should contain valid participant details</w:t>
        <w:br/>
      </w:r>
      <w:r>
        <w:rPr>
          <w:rFonts w:ascii="Consolas" w:hAnsi="Consolas" w:eastAsia="Consolas"/>
          <w:sz w:val="18"/>
        </w:rPr>
        <w:t xml:space="preserve">  And the enrollment record should be available in the database</w:t>
        <w:br/>
      </w:r>
    </w:p>
    <w:p>
      <w:pPr>
        <w:pStyle w:val="Heading1"/>
      </w:pPr>
      <w:r>
        <w:t>4. Test Data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large payloads into JSON/test data files.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Keeps feature files readable and reusable.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environment-neutral logical data names.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Allows the same scenario to run in QC/Stage with different config.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Avoid hardcoded account/participant IDs where possible.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Reduces brittle failures.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 data setup and cleanup assumptions.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Prevents false failures and environment pollution.</w:t>
            </w:r>
          </w:p>
        </w:tc>
      </w:tr>
    </w:tbl>
    <w:p/>
    <w:p>
      <w:pPr>
        <w:pStyle w:val="Heading1"/>
      </w:pPr>
      <w:r>
        <w:t>5. Tagging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@mobile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mobile microservices API tests.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@uniteEnrollment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Unite Enrollment module-specific execution.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@uniteMobile1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Unite Mobile 1 module-specific execution.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@uniteMobile2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Unite Mobile 2 module-specific execution.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@smoke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 fast validation.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@regression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 migrated suite.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@debug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Temporary troubleshooting only.</w:t>
            </w:r>
          </w:p>
        </w:tc>
      </w:tr>
    </w:tbl>
    <w:p/>
    <w:p>
      <w:pPr>
        <w:pStyle w:val="Heading1"/>
      </w:pPr>
      <w:r>
        <w:t>6. Migration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73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Read-only source repos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not edit original application repositories.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blind copy-paste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Evaluate each scenario before migration.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Vertical slice first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Prove 3-5 scenarios before full migration.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Reuse shared framework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existing request/config/reporting patterns where possible.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 exclusions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Obsolete/duplicate scenarios must be listed with reason.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Keep utilities limited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not create excessive helper layers unless duplication proves the need.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