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line="276" w:lineRule="auto"/>
        <w:jc w:val="center"/>
      </w:pPr>
      <w:r>
        <w:rPr>
          <w:rFonts w:ascii="Calibri" w:hAnsi="Calibri"/>
          <w:b/>
          <w:color w:val="003057"/>
          <w:sz w:val="52"/>
        </w:rPr>
        <w:t>EXECUTION AND TROUBLESHOOTING</w:t>
      </w:r>
    </w:p>
    <w:p>
      <w:pPr>
        <w:spacing w:line="276" w:lineRule="auto"/>
        <w:jc w:val="center"/>
      </w:pPr>
      <w:r>
        <w:rPr>
          <w:rFonts w:ascii="Calibri" w:hAnsi="Calibri"/>
          <w:b w:val="0"/>
          <w:color w:val="007A8C"/>
          <w:sz w:val="32"/>
        </w:rPr>
        <w:t>Commands to run suites and classify failures</w:t>
      </w:r>
    </w:p>
    <w:p>
      <w:pPr>
        <w:spacing w:line="276" w:lineRule="auto"/>
        <w:jc w:val="center"/>
      </w:pPr>
      <w:r>
        <w:rPr>
          <w:rFonts w:ascii="Calibri" w:hAnsi="Calibri"/>
          <w:b/>
          <w:color w:val="007A8C"/>
          <w:sz w:val="32"/>
        </w:rPr>
        <w:t>GUIDE</w:t>
      </w:r>
    </w:p>
    <w:p>
      <w:pPr>
        <w:spacing w:line="276" w:lineRule="auto"/>
        <w:jc w:val="center"/>
      </w:pPr>
      <w:r>
        <w:rPr>
          <w:rFonts w:ascii="Calibri" w:hAnsi="Calibri"/>
          <w:b w:val="0"/>
          <w:color w:val="616161"/>
          <w:sz w:val="22"/>
        </w:rPr>
        <w:t>September 14, 2026  ·  QA Automation (AMSQUAD)  ·  QA-893</w:t>
      </w:r>
    </w:p>
    <w:p>
      <w:pPr>
        <w:spacing w:line="276" w:lineRule="auto"/>
        <w:jc w:val="center"/>
      </w:pPr>
      <w:r>
        <w:rPr>
          <w:rFonts w:ascii="Calibri" w:hAnsi="Calibri"/>
          <w:b w:val="0"/>
          <w:color w:val="616161"/>
          <w:sz w:val="20"/>
        </w:rPr>
        <w:t>Classification: Internal — handover to engineering and support</w:t>
      </w:r>
    </w:p>
    <w:p>
      <w:r>
        <w:br w:type="page"/>
      </w:r>
    </w:p>
    <w:p>
      <w:pPr>
        <w:pStyle w:val="Heading1"/>
        <w:spacing w:before="280" w:after="160"/>
      </w:pPr>
      <w:r>
        <w:rPr>
          <w:rFonts w:ascii="Calibri" w:hAnsi="Calibri"/>
          <w:color w:val="003057"/>
        </w:rPr>
        <w:t>1. Commands (repo root)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003057" w:val="clear"/>
          </w:tcPr>
          <w:p>
            <w:pPr>
              <w:spacing w:after="40" w:before="4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Suite</w:t>
            </w:r>
          </w:p>
        </w:tc>
        <w:tc>
          <w:tcPr>
            <w:tcW w:type="dxa" w:w="4759"/>
            <w:shd w:fill="003057" w:val="clear"/>
          </w:tcPr>
          <w:p>
            <w:pPr>
              <w:spacing w:after="40" w:before="4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Command (edit host file name)</w:t>
            </w:r>
          </w:p>
        </w:tc>
      </w:tr>
      <w:tr>
        <w:tc>
          <w:tcPr>
            <w:tcW w:type="dxa" w:w="4759"/>
            <w:shd w:fill="E8EEF4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003057"/>
                <w:sz w:val="16"/>
              </w:rPr>
              <w:t>Smoke Stage1</w:t>
            </w:r>
          </w:p>
        </w:tc>
        <w:tc>
          <w:tcPr>
            <w:tcW w:type="dxa" w:w="4759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mvn -f mobile/enrollment/pom.xml test "-Pmobile-ms-enrollment-smoke,acceptance-stage1" "-Dhost.properties=LT12800.properties"</w:t>
            </w:r>
          </w:p>
        </w:tc>
      </w:tr>
      <w:tr>
        <w:tc>
          <w:tcPr>
            <w:tcW w:type="dxa" w:w="4759"/>
            <w:shd w:fill="E8EEF4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003057"/>
                <w:sz w:val="16"/>
              </w:rPr>
              <w:t>Regression Stage1</w:t>
            </w:r>
          </w:p>
        </w:tc>
        <w:tc>
          <w:tcPr>
            <w:tcW w:type="dxa" w:w="4759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mvn -f mobile/enrollment/pom.xml test "-Pmobile-ms-enrollment-regression,acceptance-stage1" "-Dhost.properties=LT12800.properties"</w:t>
            </w:r>
          </w:p>
        </w:tc>
      </w:tr>
      <w:tr>
        <w:tc>
          <w:tcPr>
            <w:tcW w:type="dxa" w:w="4759"/>
            <w:shd w:fill="E8EEF4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003057"/>
                <w:sz w:val="16"/>
              </w:rPr>
              <w:t>Integration QC4</w:t>
            </w:r>
          </w:p>
        </w:tc>
        <w:tc>
          <w:tcPr>
            <w:tcW w:type="dxa" w:w="4759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mvn -f mobile/enrollment/pom.xml test "-Pmobile-ms-enrollment-integration,acceptance-qc4" "-Denvironment.properties=qc4.properties" "-Dhost.properties=qc4.properties"</w:t>
            </w:r>
          </w:p>
        </w:tc>
      </w:tr>
    </w:tbl>
    <w:p/>
    <w:p>
      <w:pPr>
        <w:pStyle w:val="Heading1"/>
        <w:spacing w:before="280" w:after="160"/>
      </w:pPr>
      <w:r>
        <w:rPr>
          <w:rFonts w:ascii="Calibri" w:hAnsi="Calibri"/>
          <w:color w:val="003057"/>
        </w:rPr>
        <w:t>2.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003057" w:val="clear"/>
          </w:tcPr>
          <w:p>
            <w:pPr>
              <w:spacing w:after="40" w:before="4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3173"/>
            <w:shd w:fill="003057" w:val="clear"/>
          </w:tcPr>
          <w:p>
            <w:pPr>
              <w:spacing w:after="40" w:before="4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Cause</w:t>
            </w:r>
          </w:p>
        </w:tc>
        <w:tc>
          <w:tcPr>
            <w:tcW w:type="dxa" w:w="3173"/>
            <w:shd w:fill="003057" w:val="clear"/>
          </w:tcPr>
          <w:p>
            <w:pPr>
              <w:spacing w:after="40" w:before="4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3173"/>
            <w:shd w:fill="E8EEF4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003057"/>
                <w:sz w:val="16"/>
              </w:rPr>
              <w:t>401 / decrypt fail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Stale JWT or double encrypt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New prospect; encrypt from plaintext</w:t>
            </w:r>
          </w:p>
        </w:tc>
      </w:tr>
      <w:tr>
        <w:tc>
          <w:tcPr>
            <w:tcW w:type="dxa" w:w="3173"/>
            <w:shd w:fill="E8EEF4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003057"/>
                <w:sz w:val="16"/>
              </w:rPr>
              <w:t>426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x-app-version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1.8.0+ or DB min version</w:t>
            </w:r>
          </w:p>
        </w:tc>
      </w:tr>
      <w:tr>
        <w:tc>
          <w:tcPr>
            <w:tcW w:type="dxa" w:w="3173"/>
            <w:shd w:fill="E8EEF4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003057"/>
                <w:sz w:val="16"/>
              </w:rPr>
              <w:t>DB timeout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No Frogger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PuTTY Frogger session</w:t>
            </w:r>
          </w:p>
        </w:tc>
      </w:tr>
      <w:tr>
        <w:tc>
          <w:tcPr>
            <w:tcW w:type="dxa" w:w="3173"/>
            <w:shd w:fill="E8EEF4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003057"/>
                <w:sz w:val="16"/>
              </w:rPr>
              <w:t>Session test skipped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groups=functional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Expected in regression filter</w:t>
            </w:r>
          </w:p>
        </w:tc>
      </w:tr>
      <w:tr>
        <w:tc>
          <w:tcPr>
            <w:tcW w:type="dxa" w:w="3173"/>
            <w:shd w:fill="E8EEF4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003057"/>
                <w:sz w:val="16"/>
              </w:rPr>
              <w:t>nmdirect missing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Not in CI XML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Known gap — not a product bug</w:t>
            </w:r>
          </w:p>
        </w:tc>
      </w:tr>
    </w:tbl>
    <w:p/>
    <w:p>
      <w:pPr>
        <w:pStyle w:val="Heading1"/>
        <w:spacing w:before="280" w:after="160"/>
      </w:pPr>
      <w:r>
        <w:rPr>
          <w:rFonts w:ascii="Calibri" w:hAnsi="Calibri"/>
          <w:color w:val="003057"/>
        </w:rPr>
        <w:t>3. Pipeline</w:t>
      </w:r>
    </w:p>
    <w:p>
      <w:pPr>
        <w:spacing w:line="276" w:lineRule="auto"/>
      </w:pPr>
      <w:r>
        <w:rPr>
          <w:rFonts w:ascii="Calibri" w:hAnsi="Calibri"/>
          <w:b w:val="0"/>
          <w:color w:val="616161"/>
          <w:sz w:val="22"/>
        </w:rPr>
        <w:t>Enrollment GitLab nightly is not in local gitlab-ci yet. Mobile 2 nightly is the pattern to copy (QA-1405). Same Maven profiles locally and in CI.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b w:val="0"/>
        <w:color w:val="616161"/>
        <w:sz w:val="16"/>
      </w:rPr>
      <w:t>QA Automation AMSQUAD  ·  September 14, 2026  ·  No credentials</w:t>
    </w:r>
  </w:p>
  <w:p>
    <w:pPr>
      <w:jc w:val="right"/>
    </w:pPr>
    <w:r>
      <w:rPr>
        <w:rFonts w:ascii="Calibri" w:hAnsi="Calibri"/>
        <w:b w:val="0"/>
        <w:color w:val="616161"/>
        <w:sz w:val="16"/>
      </w:rP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color w:val="616161"/>
        <w:sz w:val="16"/>
      </w:rPr>
      <w:t>Enrollment API  ·  Execution  |  Internal  |  QA-893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="360" w:lineRule="auto"/>
    </w:pPr>
    <w:rPr>
      <w:rFonts w:ascii="Calibri" w:hAnsi="Calibri"/>
      <w:color w:val="61616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