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line="276" w:lineRule="auto"/>
        <w:jc w:val="center"/>
      </w:pPr>
      <w:r>
        <w:rPr>
          <w:rFonts w:ascii="Calibri" w:hAnsi="Calibri"/>
          <w:b/>
          <w:color w:val="003057"/>
          <w:sz w:val="52"/>
        </w:rPr>
        <w:t>REPORTING, TRIAGE, EVIDENCE</w:t>
      </w:r>
    </w:p>
    <w:p>
      <w:pPr>
        <w:spacing w:line="276" w:lineRule="auto"/>
        <w:jc w:val="center"/>
      </w:pPr>
      <w:r>
        <w:rPr>
          <w:rFonts w:ascii="Calibri" w:hAnsi="Calibri"/>
          <w:b w:val="0"/>
          <w:color w:val="007A8C"/>
          <w:sz w:val="32"/>
        </w:rPr>
        <w:t>What to keep after a run</w:t>
      </w:r>
    </w:p>
    <w:p>
      <w:pPr>
        <w:spacing w:line="276" w:lineRule="auto"/>
        <w:jc w:val="center"/>
      </w:pPr>
      <w:r>
        <w:rPr>
          <w:rFonts w:ascii="Calibri" w:hAnsi="Calibri"/>
          <w:b/>
          <w:color w:val="007A8C"/>
          <w:sz w:val="32"/>
        </w:rPr>
        <w:t>GUIDE</w:t>
      </w:r>
    </w:p>
    <w:p>
      <w:pPr>
        <w:spacing w:line="276" w:lineRule="auto"/>
        <w:jc w:val="center"/>
      </w:pPr>
      <w:r>
        <w:rPr>
          <w:rFonts w:ascii="Calibri" w:hAnsi="Calibri"/>
          <w:b w:val="0"/>
          <w:color w:val="616161"/>
          <w:sz w:val="22"/>
        </w:rPr>
        <w:t>September 14, 2026  ·  QA Automation (AMSQUAD)  ·  QA-893</w:t>
      </w:r>
    </w:p>
    <w:p>
      <w:pPr>
        <w:spacing w:line="276" w:lineRule="auto"/>
        <w:jc w:val="center"/>
      </w:pPr>
      <w:r>
        <w:rPr>
          <w:rFonts w:ascii="Calibri" w:hAnsi="Calibri"/>
          <w:b w:val="0"/>
          <w:color w:val="616161"/>
          <w:sz w:val="20"/>
        </w:rPr>
        <w:t>Classification: Internal — handover to engineering and support</w:t>
      </w:r>
    </w:p>
    <w:p>
      <w:r>
        <w:br w:type="page"/>
      </w:r>
    </w:p>
    <w:p>
      <w:pPr>
        <w:pStyle w:val="Heading1"/>
        <w:spacing w:before="280" w:after="160"/>
      </w:pPr>
      <w:r>
        <w:rPr>
          <w:rFonts w:ascii="Calibri" w:hAnsi="Calibri"/>
          <w:color w:val="003057"/>
        </w:rPr>
        <w:t>1. Artifacts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/>
                <w:color w:val="003057"/>
                <w:sz w:val="20"/>
              </w:rPr>
              <w:t>Surefire</w:t>
            </w:r>
          </w:p>
        </w:tc>
        <w:tc>
          <w:tcPr>
            <w:tcW w:type="dxa" w:w="4759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20"/>
              </w:rPr>
              <w:t>mobile/enrollment/target/surefire-reports/</w:t>
            </w:r>
          </w:p>
        </w:tc>
      </w:tr>
      <w:tr>
        <w:tc>
          <w:tcPr>
            <w:tcW w:type="dxa" w:w="4759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/>
                <w:color w:val="003057"/>
                <w:sz w:val="20"/>
              </w:rPr>
              <w:t>HTML</w:t>
            </w:r>
          </w:p>
        </w:tc>
        <w:tc>
          <w:tcPr>
            <w:tcW w:type="dxa" w:w="4759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20"/>
              </w:rPr>
              <w:t>target/mobile-ms-report/ when listener is enabled</w:t>
            </w:r>
          </w:p>
        </w:tc>
      </w:tr>
      <w:tr>
        <w:tc>
          <w:tcPr>
            <w:tcW w:type="dxa" w:w="4759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/>
                <w:color w:val="003057"/>
                <w:sz w:val="20"/>
              </w:rPr>
              <w:t>Do not commit</w:t>
            </w:r>
          </w:p>
        </w:tc>
        <w:tc>
          <w:tcPr>
            <w:tcW w:type="dxa" w:w="4759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20"/>
              </w:rPr>
              <w:t>target/, host properties, raw tokens</w:t>
            </w:r>
          </w:p>
        </w:tc>
      </w:tr>
    </w:tbl>
    <w:p/>
    <w:p>
      <w:pPr>
        <w:pStyle w:val="Heading1"/>
        <w:spacing w:before="280" w:after="160"/>
      </w:pPr>
      <w:r>
        <w:rPr>
          <w:rFonts w:ascii="Calibri" w:hAnsi="Calibri"/>
          <w:color w:val="003057"/>
        </w:rPr>
        <w:t>2. Triage</w:t>
      </w:r>
    </w:p>
    <w:p>
      <w:pPr>
        <w:pStyle w:val="ListBullet"/>
      </w:pPr>
      <w:r>
        <w:t>Classify environment vs script vs product (automation-bug-lifecycle).</w:t>
      </w:r>
    </w:p>
    <w:p>
      <w:pPr>
        <w:pStyle w:val="ListBullet"/>
      </w:pPr>
      <w:r>
        <w:t>Do not log partner-deferred APIs as product bugs.</w:t>
      </w:r>
    </w:p>
    <w:p>
      <w:pPr>
        <w:pStyle w:val="ListBullet"/>
      </w:pPr>
      <w:r>
        <w:t>Redact Authorization headers before Jira.</w:t>
      </w:r>
    </w:p>
    <w:p>
      <w:pPr>
        <w:pStyle w:val="Heading1"/>
        <w:spacing w:before="280" w:after="160"/>
      </w:pPr>
      <w:r>
        <w:rPr>
          <w:rFonts w:ascii="Calibri" w:hAnsi="Calibri"/>
          <w:color w:val="003057"/>
        </w:rPr>
        <w:t>3. Retention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3E0" w:val="clear"/>
          </w:tcPr>
          <w:p>
            <w:pPr>
              <w:spacing w:after="200" w:before="200" w:line="276" w:lineRule="auto"/>
            </w:pPr>
            <w:r/>
            <w:r>
              <w:rPr>
                <w:rFonts w:ascii="Calibri" w:hAnsi="Calibri"/>
                <w:b/>
                <w:color w:val="003057"/>
                <w:sz w:val="22"/>
              </w:rPr>
              <w:t>Keep date, plant, suite, counts. Never keep JWT, passwords, or SSN.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b w:val="0"/>
        <w:color w:val="616161"/>
        <w:sz w:val="16"/>
      </w:rPr>
      <w:t>QA Automation AMSQUAD  ·  September 14, 2026  ·  No credentials</w:t>
    </w:r>
  </w:p>
  <w:p>
    <w:pPr>
      <w:jc w:val="right"/>
    </w:pPr>
    <w:r>
      <w:rPr>
        <w:rFonts w:ascii="Calibri" w:hAnsi="Calibri"/>
        <w:b w:val="0"/>
        <w:color w:val="616161"/>
        <w:sz w:val="16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color w:val="616161"/>
        <w:sz w:val="16"/>
      </w:rPr>
      <w:t>Enrollment API  ·  Reporting  |  Internal  |  QA-893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="360" w:lineRule="auto"/>
    </w:pPr>
    <w:rPr>
      <w:rFonts w:ascii="Calibri" w:hAnsi="Calibri"/>
      <w:color w:val="61616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