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7A8C"/>
          <w:sz w:val="28"/>
        </w:rPr>
        <w:t>UNITE MSC</w:t>
      </w:r>
    </w:p>
    <w:p>
      <w:pPr>
        <w:jc w:val="center"/>
      </w:pPr>
      <w:r>
        <w:rPr>
          <w:rFonts w:ascii="Calibri" w:hAnsi="Calibri"/>
          <w:b/>
          <w:color w:val="003057"/>
          <w:sz w:val="52"/>
        </w:rPr>
        <w:t>Legacy-to-canonical traceability</w:t>
      </w:r>
    </w:p>
    <w:p>
      <w:pPr>
        <w:jc w:val="center"/>
      </w:pPr>
      <w:r>
        <w:rPr>
          <w:rFonts w:ascii="Calibri" w:hAnsi="Calibri"/>
          <w:b w:val="0"/>
          <w:color w:val="007A8C"/>
          <w:sz w:val="28"/>
        </w:rPr>
        <w:t>Postman · Cucumber · Dinesh Excel · TestNG</w:t>
      </w:r>
    </w:p>
    <w:p>
      <w:pPr>
        <w:jc w:val="center"/>
      </w:pPr>
      <w:r>
        <w:rPr>
          <w:rFonts w:ascii="Calibri" w:hAnsi="Calibri"/>
          <w:b/>
          <w:color w:val="2E7D32"/>
          <w:sz w:val="32"/>
        </w:rPr>
        <w:t>QA-1942  ·  PACKAGE COMPLETE</w:t>
      </w:r>
    </w:p>
    <w:p>
      <w:pPr>
        <w:jc w:val="center"/>
      </w:pPr>
      <w:r>
        <w:rPr>
          <w:rFonts w:ascii="Calibri" w:hAnsi="Calibri"/>
          <w:b w:val="0"/>
          <w:color w:val="616161"/>
          <w:sz w:val="22"/>
        </w:rPr>
        <w:t>September 15, 2026  ·  QA Automation (AMSQUAD)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1. Purpose</w:t>
      </w:r>
    </w:p>
    <w:p>
      <w:r>
        <w:rPr>
          <w:rFonts w:ascii="Calibri" w:hAnsi="Calibri"/>
          <w:b w:val="0"/>
          <w:color w:val="616161"/>
          <w:sz w:val="22"/>
        </w:rPr>
        <w:t>Single traceability pack so a reviewer can go from a legacy Cucumber feature, Dinesh endpoint row, or Postman request to the canonical TestNG class, method, and suite. Bruno is listed as not present. SharePoint publish is a later story — keep these files in Git until then.</w:t>
      </w:r>
    </w:p>
    <w:p>
      <w:pPr>
        <w:pStyle w:val="Heading1"/>
      </w:pPr>
      <w:r>
        <w:rPr>
          <w:rFonts w:ascii="Calibri" w:hAnsi="Calibri"/>
          <w:color w:val="003057"/>
        </w:rPr>
        <w:t>2. What we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Canonical code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api-test-automation/mobile/{mobile1,mobile2,enrollment}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Legacy Cucumber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UniteMSC unite-mobile1 / unite-mobile2 features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Postman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KB copies Mobile1 + Mobile2 collections (33 + 34 requests)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Dinesh / GS cut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GS inventory: 6 Mobile 1 rows, 25 Mobile 2 rows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Current registers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26 M1 + 25 M2 rows + 28 Enrollment catalog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Bruno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None in the automation repo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3057"/>
        </w:rPr>
        <w:t>3.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3173"/>
            <w:shd w:fill="E8F5E9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improved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Same API; better plants, encrypt, data, or assertions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47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newly_added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Not in early Dinesh/Cucumber/Excel cut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22</w:t>
            </w:r>
          </w:p>
        </w:tc>
      </w:tr>
      <w:tr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unchanged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Parity with legacy/Postman, no extra capability claimed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6</w:t>
            </w:r>
          </w:p>
        </w:tc>
      </w:tr>
      <w:tr>
        <w:tc>
          <w:tcPr>
            <w:tcW w:type="dxa" w:w="3173"/>
            <w:shd w:fill="FFF3E0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excluded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Ops, harness, or deferred partner — not a miss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6</w:t>
            </w:r>
          </w:p>
        </w:tc>
      </w:tr>
      <w:tr>
        <w:tc>
          <w:tcPr>
            <w:tcW w:type="dxa" w:w="3173"/>
            <w:shd w:fill="FFEBEE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missing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Unmapped → enhancement backlog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5E9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Coded business APIs: Mobile 1 = 26. Mobile 2 = 24 in-scope (harness excluded). Enrollment = 25/28 (3 partner deferred).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3057"/>
        </w:rPr>
        <w:t>4. Improvements vs legacy (code-backed)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759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IDP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M1-22 idptokenexchange and M1-23 mobilememberidptoken on nmdirect. No Cucumber IDP feature. Postman IDP was Not Run.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Encryption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 certificate + encrypted POSTs in TestNG.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Data creation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QAAUTOTEST enrollment users; contribution SQL fixture; device/biometric helpers.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Assertions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Lean L1–L4. Dashboard: many Cucumber scenarios → one TestNG.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Multi-plan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M2 + Enrollment okdirect and newyork. M1 IDP/auth nmdirect. Stackup smoke includes nmdirect.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Excel holes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 beneficiary / bank / recurring coded in Java; original Enrollment Excel omitted them.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3057"/>
        </w:rPr>
        <w:t>5. Gaps after comparison</w:t>
      </w:r>
    </w:p>
    <w:p>
      <w:r>
        <w:rPr>
          <w:rFonts w:ascii="Calibri" w:hAnsi="Calibri"/>
          <w:b w:val="0"/>
          <w:color w:val="616161"/>
          <w:sz w:val="22"/>
        </w:rPr>
        <w:t>Full list: enhancement-backlog.md. Headline for leadership: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4759"/>
            <w:shd w:fill="00305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Bruno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Missing — convert later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PATCH logout session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Missing TestNG — optional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banks planId=upromise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Postman-only variant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Enrollment nmdirect CI + nightly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Follow-up stories (already drafted)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L5 SQL field compare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Not implemented — QA-1054 / Jul 23 L1–L4 bar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Partner submit / Upromise / OAuth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Excluded — QA-1808 / QA-1807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Health / OpenAPI / M2 harness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Excluded from business count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3057"/>
        </w:rPr>
        <w:t>6. How to use the CSV</w:t>
      </w:r>
    </w:p>
    <w:p>
      <w:r>
        <w:rPr>
          <w:rFonts w:ascii="Calibri" w:hAnsi="Calibri"/>
          <w:b w:val="0"/>
          <w:color w:val="616161"/>
          <w:sz w:val="22"/>
        </w:rPr>
        <w:t>Open legacy-to-canonical-traceability.csv. Filter module. Columns: delta, legacy_cucumber, postman_request, bruno_request (always em dash), java_class, java_method, suite, plants, improvements. A reviewer traces endpoint → class → suite XML → optional Postman name.</w:t>
      </w:r>
    </w:p>
    <w:p>
      <w:pPr>
        <w:pStyle w:val="Heading1"/>
      </w:pPr>
      <w:r>
        <w:rPr>
          <w:rFonts w:ascii="Calibri" w:hAnsi="Calibri"/>
          <w:color w:val="003057"/>
        </w:rPr>
        <w:t>7.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Jira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QA-1942 (subtasks QA-2048–QA-2053)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Epic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QA-796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KB folder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programs/unite-msc/traceability/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Regenerate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python programs/unite-msc/traceability/tools/generate_traceability_pack.py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color w:val="616161"/>
        <w:sz w:val="16"/>
      </w:rPr>
      <w:t>QA Automation AMSQUAD  ·  September 15, 2026  ·  No credentials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Unite MSC traceability  |  Internal  |  QA-1942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