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Government Savings</w:t>
      </w:r>
    </w:p>
    <w:p>
      <w:pPr>
        <w:jc w:val="center"/>
      </w:pPr>
      <w:r>
        <w:rPr>
          <w:b/>
        </w:rPr>
        <w:t>Automation, Pipeline Controls &amp; Coverage Intelligence</w:t>
        <w:br/>
        <w:t>Leadership Brief</w:t>
      </w:r>
    </w:p>
    <w:p>
      <w:pPr>
        <w:jc w:val="center"/>
      </w:pPr>
      <w:r>
        <w:br/>
        <w:t>Prepared by: Swapnil Patil</w:t>
        <w:br/>
        <w:t>QA Automation &amp; Quality Program Lead, Government Savings</w:t>
        <w:br/>
        <w:br/>
        <w:t>Assessment Date: July 21, 2026</w:t>
        <w:br/>
        <w:t>Version: 1.0</w:t>
        <w:br/>
        <w:t>Classification: Confidential — Internal Use</w:t>
      </w:r>
    </w:p>
    <w:p>
      <w:r>
        <w:br w:type="page"/>
      </w:r>
    </w:p>
    <w:p>
      <w:pPr>
        <w:pStyle w:val="Heading1"/>
      </w:pPr>
      <w:r>
        <w:t>1. Executive Answer</w:t>
      </w:r>
    </w:p>
    <w:p>
      <w:r>
        <w:t>Government Savings has meaningful automation across every major business platform. Maturity varies by operational activation — what is implemented, what executes on a recurring schedule, and what meets the full Definition of Done. There is no single Government Savings-wide coverage percentage.</w:t>
      </w:r>
    </w:p>
    <w:p>
      <w:pPr>
        <w:pStyle w:val="Heading1"/>
      </w:pPr>
      <w:r>
        <w:t>2. How Coverage Is Measured</w:t>
      </w:r>
    </w:p>
    <w:p>
      <w:r>
        <w:t>Six metrics are kept separate: (A) business automation, (B) application source-code coverage, (C) execution coverage, (D) CI integration, (E) gate coverage, (F) traceability completeness. Every percentage requires numerator, denominator, counting unit, inclusions, exclusions, formula, as-of date, evidence, and confidence.</w:t>
      </w:r>
    </w:p>
    <w:p>
      <w:pPr>
        <w:pStyle w:val="Heading1"/>
      </w:pPr>
      <w:r>
        <w:t>3. Current Position by Business Platform</w:t>
      </w:r>
    </w:p>
    <w:p>
      <w:r>
        <w:t>Unite MSC Mobile 2 is complete for automatable business scope (24/24 endpoints). Modern Unite runs active GitLab nightly regression for enrollment, IDP, and withdrawals. Legacy Unite has substantial high-priority member automation with Jenkins daily modules referenced. Back-office and ASTRO have large asset bases with previously scheduled Jenkins jobs now disabled. COPACS scope requires discovery.</w:t>
      </w:r>
    </w:p>
    <w:p>
      <w:pPr>
        <w:pStyle w:val="Heading1"/>
      </w:pPr>
      <w:r>
        <w:t>4. Unite MSC</w:t>
      </w:r>
    </w:p>
    <w:p>
      <w:r>
        <w:t>Mobile 2: 24/24 automatable endpoints implemented. Destructive operations in smoke/targeted suites by design. GitHub workflow integration pipeline validates Dashboard vertical slice (QC4 build-deploy-test-promote); full integration pending QC4/ITT environment stabilization. Stage 1 GitLab nightly (QA-1405) pending DevOps capacity. Mobile 1: 6/27 endpoints. Enrollment: bootstrap pilot — no combined MSC percentage.</w:t>
      </w:r>
    </w:p>
    <w:p>
      <w:pPr>
        <w:pStyle w:val="Heading1"/>
      </w:pPr>
      <w:r>
        <w:t>5. Modern Unite / Universal Platform</w:t>
      </w:r>
    </w:p>
    <w:p>
      <w:r>
        <w:t>Active GitLab nightly: Universal Enrollment (303 TestNG methods), IDP (56), Withdrawals (20). Entity Platform: 6 scenarios — primary expansion. Metadata API scheduled. Do not translate counts into 95% business completeness without approved denominators.</w:t>
      </w:r>
    </w:p>
    <w:p>
      <w:pPr>
        <w:pStyle w:val="Heading1"/>
      </w:pPr>
      <w:r>
        <w:t>6. Legacy Unite (V2)</w:t>
      </w:r>
    </w:p>
    <w:p>
      <w:r>
        <w:t>Substantial automation for high-priority member journeys across ten referenced daily Jenkins modules. CSR, greenscreen, management, and specialty assets exist but require revalidation and governed activation. Do not publish 80% or 95% without approved denominators.</w:t>
      </w:r>
    </w:p>
    <w:p>
      <w:pPr>
        <w:pStyle w:val="Heading1"/>
      </w:pPr>
      <w:r>
        <w:t>7. Back-office / Batch</w:t>
      </w:r>
    </w:p>
    <w:p>
      <w:r>
        <w:t>1,062+ backoffice feature files including Kofax, feeds, and batch flows. Previously scheduled Jenkins weekly jobs are currently disabled. Requires inventory confirmation, environment validation, smoke execution, and schedule reactivation.</w:t>
      </w:r>
    </w:p>
    <w:p>
      <w:pPr>
        <w:pStyle w:val="Heading1"/>
      </w:pPr>
      <w:r>
        <w:t>8. ASTRO / SFRP</w:t>
      </w:r>
    </w:p>
    <w:p>
      <w:r>
        <w:t>391 feature files — substantial asset base. Previously scheduled Jenkins regression is currently disabled. Suites require revalidation, environment confirmation, and ownership alignment before reactivation.</w:t>
      </w:r>
    </w:p>
    <w:p>
      <w:pPr>
        <w:pStyle w:val="Heading1"/>
      </w:pPr>
      <w:r>
        <w:t>9. APIs Outside Mobile</w:t>
      </w:r>
    </w:p>
    <w:p>
      <w:r>
        <w:t>Metadata API scheduled on GitLab. Other universal API modules implemented but uneven scheduling. Next pipeline candidates after Mobile 2: enrollment API, account, auth, financial.</w:t>
      </w:r>
    </w:p>
    <w:p>
      <w:pPr>
        <w:pStyle w:val="Heading1"/>
      </w:pPr>
      <w:r>
        <w:t>10. Performance</w:t>
      </w:r>
    </w:p>
    <w:p>
      <w:r>
        <w:t>IDP performance scheduled weekdays (Jenkins). UE, Entity, and MSC journeys have assets with uneven scheduling.</w:t>
      </w:r>
    </w:p>
    <w:p>
      <w:pPr>
        <w:pStyle w:val="Heading1"/>
      </w:pPr>
      <w:r>
        <w:t>11. Current CI and Merge Controls</w:t>
      </w:r>
    </w:p>
    <w:p>
      <w:r>
        <w:t>Protected main, MR pipeline success, Snyk, dual approval including senior Code Review, discussion/change-request blocks, merge dependencies, draft/rebase rules, conditional auto-merge.</w:t>
      </w:r>
    </w:p>
    <w:p>
      <w:pPr>
        <w:pStyle w:val="Heading1"/>
      </w:pPr>
      <w:r>
        <w:t>12. Current Source-Code Coverage Controls</w:t>
      </w:r>
    </w:p>
    <w:p>
      <w:r>
        <w:t>JaCoCo on UniteMSC Java services; thresholds vary; SonarQube disabled in reviewed YAML. No verified branch-versus-main coverage-delta merge gate.</w:t>
      </w:r>
    </w:p>
    <w:p>
      <w:pPr>
        <w:pStyle w:val="Heading1"/>
      </w:pPr>
      <w:r>
        <w:t>13. Missing Coverage-Delta Control</w:t>
      </w:r>
    </w:p>
    <w:p>
      <w:r>
        <w:t>No repository compares branch JaCoCo to main baseline, publishes required MR status, blocks merge on regression, and records auditable coverage exceptions.</w:t>
      </w:r>
    </w:p>
    <w:p>
      <w:pPr>
        <w:pStyle w:val="Heading1"/>
      </w:pPr>
      <w:r>
        <w:t>14. Recommended Solution</w:t>
      </w:r>
    </w:p>
    <w:p>
      <w:r>
        <w:t>Extend existing Python collectors into a versioned coverage register. Pilot phased JaCoCo coverage-delta on unite-mobile2. Harmonize Jira, qTest, repos, and CI execution evidence.</w:t>
      </w:r>
    </w:p>
    <w:p>
      <w:pPr>
        <w:pStyle w:val="Heading1"/>
      </w:pPr>
      <w:r>
        <w:t>15. 30/60/90-Day Roadmap</w:t>
      </w:r>
    </w:p>
    <w:p>
      <w:r>
        <w:t>30d: QA-1405, Mobile 2 execution refresh, API credentials, register MVP. 60d: qTest/Jira collectors, soft-fail pilot. 90d: required merge check, exception register.</w:t>
      </w:r>
    </w:p>
    <w:p>
      <w:pPr>
        <w:pStyle w:val="Heading1"/>
      </w:pPr>
      <w:r>
        <w:t>16. Leadership Decisions Required</w:t>
      </w:r>
    </w:p>
    <w:p>
      <w:r>
        <w:t>Approve platform denominators; sponsor QA-1405 and GitHub QC4 resolution; ASTRO in/out scope; COPACS owner; exception-approval group; read-only ALM/CI APIs.</w:t>
      </w:r>
    </w:p>
    <w:p>
      <w:pPr>
        <w:pStyle w:val="Heading1"/>
      </w:pPr>
      <w:r>
        <w:t>17. Plain-Language Glossary</w:t>
      </w:r>
    </w:p>
    <w:p>
      <w:r>
        <w:t>Automatable scope: endpoints approved for regression automation. Deployment validation: tests run during promote workflow, not nightly regression. Inventory share: alignment of test inventory to a population — not requirement coverage.</w:t>
      </w:r>
    </w:p>
    <w:p>
      <w:pPr>
        <w:pStyle w:val="Heading1"/>
      </w:pPr>
      <w:r>
        <w:t>18. Evidence Appendix</w:t>
      </w:r>
    </w:p>
    <w:p>
      <w:r>
        <w:t>Primary sources: GitLab repositories (commits cited in technical assessment), pipeline YAML, Jenkins job documentation, qTest export 2026-06-29, SME confirmation where live API unavailable.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2026-07-21</w:t>
            </w:r>
          </w:p>
        </w:tc>
        <w:tc>
          <w:tcPr>
            <w:tcW w:type="dxa" w:w="2340"/>
          </w:tcPr>
          <w:p>
            <w:r>
              <w:t>Swapnil Patil</w:t>
            </w:r>
          </w:p>
        </w:tc>
        <w:tc>
          <w:tcPr>
            <w:tcW w:type="dxa" w:w="2340"/>
          </w:tcPr>
          <w:p>
            <w:r>
              <w:t>Initial leadership distribution package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Confidential — Internal Use  |  July 21,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3057"/>
        <w:sz w:val="18"/>
      </w:rPr>
      <w:t>Ascensus Government Savings  |  Automation &amp; Coverage Leadership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