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057"/>
          <w:sz w:val="56"/>
        </w:rPr>
        <w:t>UNITE MSC</w:t>
      </w:r>
    </w:p>
    <w:p>
      <w:pPr>
        <w:jc w:val="center"/>
      </w:pPr>
      <w:r>
        <w:rPr>
          <w:color w:val="007A8C"/>
          <w:sz w:val="40"/>
        </w:rPr>
        <w:t>Automation Scope Alignment</w:t>
      </w:r>
    </w:p>
    <w:p>
      <w:pPr>
        <w:jc w:val="center"/>
      </w:pPr>
      <w:r>
        <w:rPr>
          <w:color w:val="616161"/>
          <w:sz w:val="22"/>
        </w:rPr>
        <w:t>July 23, 2026</w:t>
        <w:br/>
      </w:r>
      <w:r>
        <w:rPr>
          <w:color w:val="616161"/>
          <w:sz w:val="22"/>
        </w:rPr>
        <w:t>Audience: Rajib, Henry</w:t>
        <w:br/>
      </w:r>
      <w:r>
        <w:rPr>
          <w:color w:val="616161"/>
          <w:sz w:val="22"/>
        </w:rPr>
        <w:t>Prepared by: QA Automation (AMSQUAD)</w:t>
        <w:br/>
      </w:r>
      <w:r>
        <w:rPr>
          <w:color w:val="616161"/>
          <w:sz w:val="22"/>
        </w:rPr>
        <w:t>Follow-up to Jul 17 bi-weekly leadership sync</w:t>
        <w:br/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1. Meeting Purpose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EEF4" w:val="clear"/>
          </w:tcPr>
          <w:p>
            <w:pPr>
              <w:spacing w:before="160" w:after="160"/>
            </w:pPr>
            <w:r>
              <w:rPr>
                <w:color w:val="003057"/>
              </w:rPr>
            </w:r>
            <w:r>
              <w:rPr>
                <w:rFonts w:ascii="Calibri" w:hAnsi="Calibri"/>
                <w:b w:val="0"/>
                <w:color w:val="003057"/>
                <w:sz w:val="22"/>
              </w:rPr>
              <w:t>Align with Rajib and Henry on Unite MSC automation scope — especially SQL validation depth, environment strategy (QC4 vs Stage 1), and what constitutes 'complete' for Mobile 2 and Mobile 1.</w:t>
            </w:r>
          </w:p>
        </w:tc>
      </w:tr>
    </w:tbl>
    <w:p>
      <w:r>
        <w:t>Henry raised that SQL API–DB validation could significantly expand scope. This document separates what is delivered today (L1–L4) from optional enhancement work (L5), and proposes a hybrid environment approach while QC4 remains unstable.</w:t>
      </w:r>
    </w:p>
    <w:p>
      <w:pPr>
        <w:pStyle w:val="ListBullet"/>
      </w:pPr>
      <w:r>
        <w:t>Decisions needed today:</w:t>
      </w:r>
    </w:p>
    <w:p>
      <w:pPr>
        <w:pStyle w:val="ListBullet"/>
      </w:pPr>
      <w:r>
        <w:t>Confirm L1–L4 as the Mobile 2 sign-off bar (no L5 required for 'complete')</w:t>
      </w:r>
    </w:p>
    <w:p>
      <w:pPr>
        <w:pStyle w:val="ListBullet"/>
      </w:pPr>
      <w:r>
        <w:t>If L5 is desired — choose pilot (dashboard) vs full program</w:t>
      </w:r>
    </w:p>
    <w:p>
      <w:pPr>
        <w:pStyle w:val="ListBullet"/>
      </w:pPr>
      <w:r>
        <w:t>Confirm hybrid Stage 1 strategy for functional + performance evidence</w:t>
      </w:r>
    </w:p>
    <w:p>
      <w:pPr>
        <w:pStyle w:val="ListBullet"/>
      </w:pPr>
      <w:r>
        <w:t>Identify SMEs for sign-off and production-like performance criteria</w:t>
      </w:r>
    </w:p>
    <w:p>
      <w:pPr>
        <w:pStyle w:val="ListBullet"/>
      </w:pPr>
      <w:r>
        <w:t>Confirm strategic direction and reusability expectations for MSC API automation</w:t>
      </w:r>
    </w:p>
    <w:p>
      <w:pPr>
        <w:pStyle w:val="Heading1"/>
      </w:pPr>
      <w:r>
        <w:rPr>
          <w:rFonts w:ascii="Calibri" w:hAnsi="Calibri"/>
          <w:color w:val="003057"/>
        </w:rPr>
        <w:t>2. Program Status — Updated Jul 23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pPr>
              <w:spacing w:before="160" w:after="160"/>
            </w:pPr>
            <w:r>
              <w:rPr>
                <w:color w:val="003057"/>
              </w:rPr>
            </w:r>
            <w:r>
              <w:rPr>
                <w:rFonts w:ascii="Calibri" w:hAnsi="Calibri"/>
                <w:b w:val="0"/>
                <w:color w:val="003057"/>
                <w:sz w:val="22"/>
              </w:rPr>
              <w:t>Mobile 2 is COMPLETE at 24/25 (96.0%) business endpoints. Mobile 1 is IN PROGRESS at 6/27 (22.2%).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27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2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27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89120" cy="464926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1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649265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Track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Implemented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Scope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Mobile 2 API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24/25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96.0%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COMPLETE — sign-off path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Mobile 1 API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6/27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22.2%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IN PROGRESS — tests on main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Performance (MSC)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1 flow live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Stage 1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Expanding — Stage 1 only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Pipeline (GHA)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Dashboard slice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—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Module suites in progress</w:t>
            </w:r>
          </w:p>
        </w:tc>
      </w:tr>
    </w:tbl>
    <w:p>
      <w:r>
        <w:rPr>
          <w:b/>
        </w:rPr>
        <w:t xml:space="preserve">Counting rule: </w:t>
      </w:r>
      <w:r>
        <w:t>Endpoint is 'implemented' when canonical test class exists on main — even if not yet wired to master regression suite (weekly hygiene adds suite links).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3. API Validation — Scope Clarification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642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validation_lay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642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What it validates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Mobile 2 status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Sign-off?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L1 HTTP / Auth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Status codes, session/token, transport errors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Delivered</w:t>
            </w:r>
          </w:p>
        </w:tc>
        <w:tc>
          <w:tcPr>
            <w:tcW w:type="dxa" w:w="2351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Yes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L2 Response contract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Content-type, JSON parse, error payloads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Delivered</w:t>
            </w:r>
          </w:p>
        </w:tc>
        <w:tc>
          <w:tcPr>
            <w:tcW w:type="dxa" w:w="2351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Yes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L3 Schema / structure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JSON schema, required fields, types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Delivered</w:t>
            </w:r>
          </w:p>
        </w:tc>
        <w:tc>
          <w:tcPr>
            <w:tcW w:type="dxa" w:w="2351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Yes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L4 Business assertions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Field values, business rules, branding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Delivered</w:t>
            </w:r>
          </w:p>
        </w:tc>
        <w:tc>
          <w:tcPr>
            <w:tcW w:type="dxa" w:w="2351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Yes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L5 SQL API–DB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JDBC compare to API JSON via field maps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Not delivered</w:t>
            </w:r>
          </w:p>
        </w:tc>
        <w:tc>
          <w:tcPr>
            <w:tcW w:type="dxa" w:w="2351"/>
            <w:shd w:fill="FFF3E0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Decision needed</w:t>
            </w:r>
          </w:p>
        </w:tc>
      </w:tr>
    </w:tbl>
    <w:p>
      <w:pPr>
        <w:pStyle w:val="Heading2"/>
      </w:pPr>
      <w:r>
        <w:rPr>
          <w:rFonts w:ascii="Calibri" w:hAnsi="Calibri"/>
          <w:color w:val="003057"/>
        </w:rPr>
        <w:t>Why L5 SQL is complex for Unite MSC</w:t>
      </w:r>
    </w:p>
    <w:p>
      <w:pPr>
        <w:pStyle w:val="ListBullet"/>
      </w:pPr>
      <w:r>
        <w:t>Mobile APIs are BFF-layer — data is assembled from multiple SQL sources, not 1:1 endpoint-to-query</w:t>
      </w:r>
    </w:p>
    <w:p>
      <w:pPr>
        <w:pStyle w:val="ListBullet"/>
      </w:pPr>
      <w:r>
        <w:t>Developers (Mizar, Luis) confirmed indirect mapping is difficult even for app team</w:t>
      </w:r>
    </w:p>
    <w:p>
      <w:pPr>
        <w:pStyle w:val="ListBullet"/>
      </w:pPr>
      <w:r>
        <w:t>Computed fields (totalBalance, displayInStackup, regType display names) require BFF logic replication</w:t>
      </w:r>
    </w:p>
    <w:p>
      <w:pPr>
        <w:pStyle w:val="ListBullet"/>
      </w:pPr>
      <w:r>
        <w:t>Some fields are on-prem only or external (CMS content) — no SQL compare possible</w:t>
      </w:r>
    </w:p>
    <w:p>
      <w:pPr>
        <w:pStyle w:val="ListBullet"/>
      </w:pPr>
      <w:r>
        <w:t>L5 is valuable as a pilot/enhancement — but it is a separate multi-sprint program, not a sign-off blocker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1345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scope_option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4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4. Hybrid Environment Strategy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FFF3E0" w:val="clear"/>
          </w:tcPr>
          <w:p>
            <w:pPr>
              <w:spacing w:before="160" w:after="160"/>
            </w:pPr>
            <w:r>
              <w:rPr>
                <w:color w:val="003057"/>
              </w:rPr>
            </w:r>
            <w:r>
              <w:rPr>
                <w:rFonts w:ascii="Calibri" w:hAnsi="Calibri"/>
                <w:b w:val="0"/>
                <w:color w:val="003057"/>
                <w:sz w:val="22"/>
              </w:rPr>
              <w:t>QC4 is currently unstable due to team dependencies (OKD disabled during Stage 1 migration). We use Stage 1 as the primary execution environment for design, test, sign-off, and performance.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75348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ybrid_en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488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Environment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Functional tests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Performance</w:t>
            </w:r>
          </w:p>
        </w:tc>
        <w:tc>
          <w:tcPr>
            <w:tcW w:type="dxa" w:w="2351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Notes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QC4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When stable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Not primary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Some OKD failures env-specific; NMD paths work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Stage 1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Primary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Primary (Priti)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Verified Jul 22 — tests pass when auth healthy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Stage 5 / 2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Future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TBD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Framework supports via Maven profiles</w:t>
            </w:r>
          </w:p>
        </w:tc>
      </w:tr>
      <w:tr>
        <w:tc>
          <w:tcPr>
            <w:tcW w:type="dxa" w:w="2351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Production-like load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N/A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Stage 1</w:t>
            </w:r>
          </w:p>
        </w:tc>
        <w:tc>
          <w:tcPr>
            <w:tcW w:type="dxa" w:w="2351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25-user baseline; SME criteria pending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/>
          <w:color w:val="003057"/>
        </w:rPr>
        <w:t>5. Mobile 2 — Delivery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E9" w:val="clear"/>
          </w:tcPr>
          <w:p>
            <w:pPr>
              <w:spacing w:before="160" w:after="160"/>
            </w:pPr>
            <w:r>
              <w:rPr>
                <w:color w:val="003057"/>
              </w:rPr>
            </w:r>
            <w:r>
              <w:rPr>
                <w:rFonts w:ascii="Calibri" w:hAnsi="Calibri"/>
                <w:b w:val="0"/>
                <w:color w:val="003057"/>
                <w:sz w:val="22"/>
              </w:rPr>
              <w:t>All 24 business endpoints have canonical TestNG tests on main. 1 harness endpoint excluded by design.</w:t>
            </w:r>
          </w:p>
        </w:tc>
      </w:tr>
    </w:tbl>
    <w:p>
      <w:r>
        <w:rPr>
          <w:b/>
        </w:rPr>
        <w:t xml:space="preserve">Framework: </w:t>
      </w:r>
      <w:r>
        <w:t>Canonical TestNG — shared auth, HTML reports, OKD/NMD branding, module + master suites</w:t>
      </w:r>
    </w:p>
    <w:p>
      <w:r>
        <w:rPr>
          <w:b/>
        </w:rPr>
        <w:t xml:space="preserve">Dashboard: </w:t>
      </w:r>
      <w:r>
        <w:t>mobiledashboard + mobileytdsummary — complete</w:t>
      </w:r>
    </w:p>
    <w:p>
      <w:r>
        <w:rPr>
          <w:b/>
        </w:rPr>
        <w:t xml:space="preserve">Banks: </w:t>
      </w:r>
      <w:r>
        <w:t>List, GET-by-id, POST on master; PUT/DELETE smoke-only (destructive)</w:t>
      </w:r>
    </w:p>
    <w:p>
      <w:r>
        <w:rPr>
          <w:b/>
        </w:rPr>
        <w:t xml:space="preserve">Contribution: </w:t>
      </w:r>
      <w:r>
        <w:t>6 endpoints; DELETE module-only; detail/PUT Stage 1 fixture known</w:t>
      </w:r>
    </w:p>
    <w:p>
      <w:r>
        <w:rPr>
          <w:b/>
        </w:rPr>
        <w:t xml:space="preserve">Content / Plans / Activity / Investment / Balance / UGift: </w:t>
      </w:r>
      <w:r>
        <w:t>Complete on master regression</w:t>
      </w:r>
    </w:p>
    <w:p>
      <w:r>
        <w:rPr>
          <w:b/>
        </w:rPr>
        <w:t xml:space="preserve">Excluded: </w:t>
      </w:r>
      <w:r>
        <w:t>GET mobilemembers/{planId}/{username} — acceptance harness (smoke only)</w:t>
      </w:r>
    </w:p>
    <w:p>
      <w:r>
        <w:rPr>
          <w:b/>
        </w:rPr>
        <w:t xml:space="preserve">Evidence: </w:t>
      </w:r>
      <w:r>
        <w:t>Stage 1 execution verified Jul 22; QC4 re-run when env stable</w:t>
      </w:r>
    </w:p>
    <w:p>
      <w:pPr>
        <w:pStyle w:val="Heading1"/>
      </w:pPr>
      <w:r>
        <w:rPr>
          <w:rFonts w:ascii="Calibri" w:hAnsi="Calibri"/>
          <w:color w:val="003057"/>
        </w:rPr>
        <w:t>6. Mobile 1 — Delivered So Far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Endpoint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Test class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POST mobilemembersession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Mobile1AuthenticationTest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Complete — auth foundation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GET mobileowner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MobileOwnerRequestTest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Implemented on main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GET mobileOwnerMenu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MobileOwnerMenuRequestTest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Implemented on main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GET mobileprofilemenu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MobileProfileMenuRequestTest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Implemented on main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GET mobilebeneficiaryByExt/{ext}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MobileBeneficiaryByExtRequestTest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Implemented on main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GET mobilebankinfobyroutingnum/{routingNum}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MobileBankInfoByRoutingNumRequestTest</w:t>
            </w:r>
          </w:p>
        </w:tc>
        <w:tc>
          <w:tcPr>
            <w:tcW w:type="dxa" w:w="3135"/>
            <w:shd w:fill="E8F5E9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Implemented on main</w:t>
            </w:r>
          </w:p>
        </w:tc>
      </w:tr>
    </w:tbl>
    <w:p>
      <w:pPr>
        <w:pStyle w:val="Heading1"/>
      </w:pPr>
      <w:r>
        <w:rPr>
          <w:rFonts w:ascii="Calibri" w:hAnsi="Calibri"/>
          <w:color w:val="003057"/>
        </w:rPr>
        <w:t>7. Performance Testing — Stage 1 Approach</w:t>
      </w:r>
    </w:p>
    <w:p>
      <w:pPr>
        <w:pStyle w:val="ListBullet"/>
      </w:pPr>
      <w:r>
        <w:t>Priti directed to Stage 1 only — stable, production-like load possible</w:t>
      </w:r>
    </w:p>
    <w:p>
      <w:pPr>
        <w:pStyle w:val="ListBullet"/>
      </w:pPr>
      <w:r>
        <w:t>Regulations + DoD established from scratch; nightly Jenkins regression live (weekdays)</w:t>
      </w:r>
    </w:p>
    <w:p>
      <w:pPr>
        <w:pStyle w:val="ListBullet"/>
      </w:pPr>
      <w:r>
        <w:t>Baseline: 25 users; BlazeMeter reports; SME input needed for production-like criteria</w:t>
      </w:r>
    </w:p>
    <w:p>
      <w:pPr>
        <w:pStyle w:val="ListBullet"/>
      </w:pPr>
      <w:r>
        <w:t>Henry offered to help identify owner for performance success criteria</w:t>
      </w:r>
    </w:p>
    <w:p>
      <w:pPr>
        <w:pStyle w:val="ListBullet"/>
      </w:pPr>
      <w:r>
        <w:t>Expansion: Dashboard → Contribution → Banks → Activity flows</w:t>
      </w:r>
    </w:p>
    <w:p>
      <w:pPr>
        <w:pStyle w:val="Heading1"/>
      </w:pPr>
      <w:r>
        <w:rPr>
          <w:rFonts w:ascii="Calibri" w:hAnsi="Calibri"/>
          <w:color w:val="003057"/>
        </w:rPr>
        <w:t>8. Decisions &amp; Next 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Decision / Action</w:t>
            </w:r>
          </w:p>
        </w:tc>
        <w:tc>
          <w:tcPr>
            <w:tcW w:type="dxa" w:w="3135"/>
            <w:shd w:fill="003057" w:val="clear"/>
          </w:tcPr>
          <w:p>
            <w:r>
              <w:rPr>
                <w:rFonts w:ascii="Calibri" w:hAnsi="Calibri"/>
                <w:b/>
                <w:color w:val="FFFFFF"/>
                <w:sz w:val="20"/>
              </w:rPr>
            </w:r>
            <w:r>
              <w:rPr>
                <w:rFonts w:ascii="Calibri" w:hAnsi="Calibri"/>
                <w:b/>
                <w:color w:val="FFFFFF"/>
                <w:sz w:val="20"/>
              </w:rPr>
              <w:t>Owner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1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Confirm L1–L4 as Mobile 2 sign-off bar (no L5 required)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Rajib / Henry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2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If L5 desired — approve pilot scope (dashboard only) or defer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Rajib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3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Approve hybrid Stage 1 strategy while QC4 unstable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Rajib / Henry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4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Identify SMEs for Mobile 2 sign-off + perf criteria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Henry / Rajib</w:t>
            </w:r>
          </w:p>
        </w:tc>
      </w:tr>
      <w:tr>
        <w:tc>
          <w:tcPr>
            <w:tcW w:type="dxa" w:w="3135"/>
            <w:shd w:fill="E8EEF4" w:val="clear"/>
          </w:tcPr>
          <w:p>
            <w:r/>
            <w:r>
              <w:rPr>
                <w:rFonts w:ascii="Calibri" w:hAnsi="Calibri"/>
                <w:b/>
                <w:color w:val="003057"/>
                <w:sz w:val="20"/>
              </w:rPr>
              <w:t>5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Confirm MSC automation strategic direction &amp; reusability</w:t>
            </w:r>
          </w:p>
        </w:tc>
        <w:tc>
          <w:tcPr>
            <w:tcW w:type="dxa" w:w="3135"/>
            <w:shd w:fill="FFFFFF" w:val="clear"/>
          </w:tcPr>
          <w:p>
            <w:r/>
            <w:r>
              <w:rPr>
                <w:rFonts w:ascii="Calibri" w:hAnsi="Calibri"/>
                <w:b w:val="0"/>
                <w:color w:val="616161"/>
                <w:sz w:val="20"/>
              </w:rPr>
              <w:t>Rajib</w:t>
            </w:r>
          </w:p>
        </w:tc>
      </w:tr>
    </w:tbl>
    <w:p>
      <w:pPr>
        <w:pStyle w:val="Heading2"/>
      </w:pPr>
      <w:r>
        <w:rPr>
          <w:rFonts w:ascii="Calibri" w:hAnsi="Calibri"/>
          <w:color w:val="003057"/>
        </w:rPr>
        <w:t>Appendix — Jul 17 Open Questions Carried Forward</w:t>
      </w:r>
    </w:p>
    <w:p>
      <w:pPr>
        <w:pStyle w:val="ListBullet"/>
      </w:pPr>
      <w:r>
        <w:t>Value and reusability of United MSC API automation</w:t>
      </w:r>
    </w:p>
    <w:p>
      <w:pPr>
        <w:pStyle w:val="ListBullet"/>
      </w:pPr>
      <w:r>
        <w:t>SQL validation depth and approach</w:t>
      </w:r>
    </w:p>
    <w:p>
      <w:pPr>
        <w:pStyle w:val="ListBullet"/>
      </w:pPr>
      <w:r>
        <w:t>SME input for performance metrics and success criteria</w:t>
      </w:r>
    </w:p>
    <w:p>
      <w:pPr>
        <w:pStyle w:val="ListBullet"/>
      </w:pPr>
      <w:r>
        <w:t>SME identification for sign-off</w:t>
      </w:r>
    </w:p>
    <w:p>
      <w:pPr>
        <w:pStyle w:val="ListBullet"/>
      </w:pPr>
      <w:r>
        <w:t>Framework focus pending Rajib input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16161"/>
        <w:sz w:val="16"/>
      </w:rPr>
      <w:t>QA Automation — AMSQUAD  |  July 23,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16161"/>
        <w:sz w:val="16"/>
      </w:rPr>
      <w:t>Unite MSC Scope Alignment  |  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