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057"/>
          <w:sz w:val="60"/>
        </w:rPr>
        <w:t>MOBILE 2 API AUTOMATION</w:t>
      </w:r>
    </w:p>
    <w:p>
      <w:pPr>
        <w:jc w:val="center"/>
      </w:pPr>
      <w:r>
        <w:rPr>
          <w:color w:val="007A8C"/>
          <w:sz w:val="44"/>
        </w:rPr>
        <w:t>Formal Sign-Off Certificate</w:t>
      </w:r>
    </w:p>
    <w:p>
      <w:pPr>
        <w:jc w:val="center"/>
      </w:pPr>
      <w:r>
        <w:rPr>
          <w:b/>
          <w:color w:val="2E7D32"/>
          <w:sz w:val="36"/>
        </w:rPr>
        <w:t>STATUS: COMPLETE</w:t>
      </w:r>
    </w:p>
    <w:p>
      <w:pPr>
        <w:jc w:val="center"/>
      </w:pPr>
      <w:r>
        <w:rPr>
          <w:color w:val="616161"/>
          <w:sz w:val="22"/>
        </w:rPr>
        <w:t>Unite MSC — Mobile 2 API Test Automation</w:t>
        <w:br/>
      </w:r>
      <w:r>
        <w:rPr>
          <w:color w:val="616161"/>
          <w:sz w:val="22"/>
        </w:rPr>
        <w:t>July 23, 2026</w:t>
        <w:br/>
      </w:r>
      <w:r>
        <w:rPr>
          <w:color w:val="616161"/>
          <w:sz w:val="22"/>
        </w:rPr>
        <w:t>Prepared by: QA Automation (AMSQUAD)</w:t>
        <w:br/>
      </w:r>
      <w:r>
        <w:rPr>
          <w:color w:val="616161"/>
          <w:sz w:val="22"/>
        </w:rPr>
        <w:t>Classification: Internal</w:t>
        <w:br/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3057"/>
        </w:rP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Document title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Mobile 2 API Automation — Sign-Off Certificate</w:t>
            </w:r>
          </w:p>
        </w:tc>
      </w:tr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Version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1.0 — Final</w:t>
            </w:r>
          </w:p>
        </w:tc>
      </w:tr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Sign-off date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July 23, 2026</w:t>
            </w:r>
          </w:p>
        </w:tc>
      </w:tr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Program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Unite MSC Mobile 2 API Automation</w:t>
            </w:r>
          </w:p>
        </w:tc>
      </w:tr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Evidence baseline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Commit cee0de9 on main branch</w:t>
            </w:r>
          </w:p>
        </w:tc>
      </w:tr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Prior baseline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July 14, 2026 — 22/25 endpoints (88%) @ 7ccaf46</w:t>
            </w:r>
          </w:p>
        </w:tc>
      </w:tr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Status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COMPLETE — 24/25 business endpoints (96%)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3057"/>
        </w:rPr>
        <w:t>1. Executive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 w:val="clear"/>
          </w:tcPr>
          <w:p>
            <w:pPr>
              <w:spacing w:before="160" w:after="160"/>
            </w:pPr>
            <w:r/>
            <w:r>
              <w:rPr>
                <w:rFonts w:ascii="Calibri" w:hAnsi="Calibri"/>
                <w:b/>
                <w:color w:val="003057"/>
                <w:sz w:val="22"/>
              </w:rPr>
              <w:t>Mobile 2 API automation is COMPLETE for the defined business scope: 24 of 25 documented business endpoints (96.0%) have canonical automated tests on the main branch.</w:t>
            </w:r>
          </w:p>
        </w:tc>
      </w:tr>
    </w:tbl>
    <w:p>
      <w:r>
        <w:t>This sign-off certifies delivery of the Mobile 2 canonical TestNG automation framework, endpoint test coverage, master and module regression suites, OKD/NMD branding support, and API validation through Layer 4 (business data assertions). One harness-only endpoint is intentionally excluded from the business automation numerator.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57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2_signoff_cove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748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Documented business endpoints</w:t>
            </w:r>
          </w:p>
        </w:tc>
        <w:tc>
          <w:tcPr>
            <w:tcW w:type="dxa" w:w="4703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25</w:t>
            </w:r>
          </w:p>
        </w:tc>
      </w:tr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Automated (business scope)</w:t>
            </w:r>
          </w:p>
        </w:tc>
        <w:tc>
          <w:tcPr>
            <w:tcW w:type="dxa" w:w="4703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24</w:t>
            </w:r>
          </w:p>
        </w:tc>
      </w:tr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Coverage percentage</w:t>
            </w:r>
          </w:p>
        </w:tc>
        <w:tc>
          <w:tcPr>
            <w:tcW w:type="dxa" w:w="4703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96.0%</w:t>
            </w:r>
          </w:p>
        </w:tc>
      </w:tr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Excluded (by design)</w:t>
            </w:r>
          </w:p>
        </w:tc>
        <w:tc>
          <w:tcPr>
            <w:tcW w:type="dxa" w:w="4703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1 — acceptance harness endpoint</w:t>
            </w:r>
          </w:p>
        </w:tc>
      </w:tr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Sign-off determination</w:t>
            </w:r>
          </w:p>
        </w:tc>
        <w:tc>
          <w:tcPr>
            <w:tcW w:type="dxa" w:w="4703"/>
            <w:shd w:fill="E8F5E9" w:val="clear"/>
          </w:tcPr>
          <w:p>
            <w:r/>
            <w:r>
              <w:rPr>
                <w:rFonts w:ascii="Calibri" w:hAnsi="Calibri"/>
                <w:b/>
                <w:color w:val="2E7D32"/>
                <w:sz w:val="18"/>
              </w:rPr>
              <w:t>COMPLETE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3057"/>
        </w:rPr>
        <w:t>2. Scope Definition</w:t>
      </w:r>
    </w:p>
    <w:p>
      <w:pPr>
        <w:pStyle w:val="ListBullet"/>
      </w:pPr>
      <w:r>
        <w:t>In scope: All documented Mobile 2 business API endpoints under /mobile2api/v1 (denominator = 25).</w:t>
      </w:r>
    </w:p>
    <w:p>
      <w:pPr>
        <w:pStyle w:val="ListBullet"/>
      </w:pPr>
      <w:r>
        <w:t>Automation type: Canonical TestNG API tests with HTTP, schema, and business assertions (L1–L4).</w:t>
      </w:r>
    </w:p>
    <w:p>
      <w:pPr>
        <w:pStyle w:val="ListBullet"/>
      </w:pPr>
      <w:r>
        <w:t>Branding: OKD (okdirect) and NMD (nmdirect / newyork) session paths supported.</w:t>
      </w:r>
    </w:p>
    <w:p>
      <w:pPr>
        <w:pStyle w:val="ListBullet"/>
      </w:pPr>
      <w:r>
        <w:t>Environments: QC4 and Stage 1 via Maven acceptance profiles.</w:t>
      </w:r>
    </w:p>
    <w:p>
      <w:pPr>
        <w:pStyle w:val="ListBullet"/>
      </w:pPr>
      <w:r>
        <w:t>Out of scope for this sign-off: SQL API–DB reconciliation (L5), Enrollment API, Mobile 1 business endpoints.</w:t>
      </w:r>
    </w:p>
    <w:p>
      <w:pPr>
        <w:pStyle w:val="Heading2"/>
      </w:pPr>
      <w:r>
        <w:rPr>
          <w:rFonts w:ascii="Calibri" w:hAnsi="Calibri"/>
          <w:color w:val="003057"/>
        </w:rPr>
        <w:t>Excluded endpoint (intentional)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 w:val="clear"/>
          </w:tcPr>
          <w:p>
            <w:pPr>
              <w:spacing w:before="160" w:after="160"/>
            </w:pPr>
            <w:r/>
            <w:r>
              <w:rPr>
                <w:rFonts w:ascii="Calibri" w:hAnsi="Calibri"/>
                <w:b/>
                <w:color w:val="003057"/>
                <w:sz w:val="22"/>
              </w:rPr>
              <w:t>GET /mobile2api/v1/mobilemembers/{planId}/{username} — Acceptance/harness helper used for member lookup in test flows. Smoke test exists but endpoint is excluded from the business automation numerator by approved scope definition.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3057"/>
        </w:rPr>
        <w:t>3. Sign-Off Criteria — All Met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35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3135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35"/>
            <w:shd w:fill="E8EEF4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8"/>
              </w:rPr>
              <w:t>1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Canonical TestNG framework on main branch</w:t>
            </w:r>
          </w:p>
        </w:tc>
        <w:tc>
          <w:tcPr>
            <w:tcW w:type="dxa" w:w="3135"/>
            <w:shd w:fill="E8F5E9" w:val="clear"/>
          </w:tcPr>
          <w:p>
            <w:r/>
            <w:r>
              <w:rPr>
                <w:rFonts w:ascii="Calibri" w:hAnsi="Calibri"/>
                <w:b/>
                <w:color w:val="2E7D32"/>
                <w:sz w:val="18"/>
              </w:rPr>
              <w:t>MET</w:t>
            </w:r>
          </w:p>
        </w:tc>
      </w:tr>
      <w:tr>
        <w:tc>
          <w:tcPr>
            <w:tcW w:type="dxa" w:w="3135"/>
            <w:shd w:fill="E8EEF4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8"/>
              </w:rPr>
              <w:t>2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24/25 business endpoints have automated tests</w:t>
            </w:r>
          </w:p>
        </w:tc>
        <w:tc>
          <w:tcPr>
            <w:tcW w:type="dxa" w:w="3135"/>
            <w:shd w:fill="E8F5E9" w:val="clear"/>
          </w:tcPr>
          <w:p>
            <w:r/>
            <w:r>
              <w:rPr>
                <w:rFonts w:ascii="Calibri" w:hAnsi="Calibri"/>
                <w:b/>
                <w:color w:val="2E7D32"/>
                <w:sz w:val="18"/>
              </w:rPr>
              <w:t>MET</w:t>
            </w:r>
          </w:p>
        </w:tc>
      </w:tr>
      <w:tr>
        <w:tc>
          <w:tcPr>
            <w:tcW w:type="dxa" w:w="3135"/>
            <w:shd w:fill="E8EEF4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8"/>
              </w:rPr>
              <w:t>3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Master regression suite wires stable endpoints (OKD + NMD)</w:t>
            </w:r>
          </w:p>
        </w:tc>
        <w:tc>
          <w:tcPr>
            <w:tcW w:type="dxa" w:w="3135"/>
            <w:shd w:fill="E8F5E9" w:val="clear"/>
          </w:tcPr>
          <w:p>
            <w:r/>
            <w:r>
              <w:rPr>
                <w:rFonts w:ascii="Calibri" w:hAnsi="Calibri"/>
                <w:b/>
                <w:color w:val="2E7D32"/>
                <w:sz w:val="18"/>
              </w:rPr>
              <w:t>MET</w:t>
            </w:r>
          </w:p>
        </w:tc>
      </w:tr>
      <w:tr>
        <w:tc>
          <w:tcPr>
            <w:tcW w:type="dxa" w:w="3135"/>
            <w:shd w:fill="E8EEF4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8"/>
              </w:rPr>
              <w:t>4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L1–L4 API validation (HTTP, contract, schema, business assertions)</w:t>
            </w:r>
          </w:p>
        </w:tc>
        <w:tc>
          <w:tcPr>
            <w:tcW w:type="dxa" w:w="3135"/>
            <w:shd w:fill="E8F5E9" w:val="clear"/>
          </w:tcPr>
          <w:p>
            <w:r/>
            <w:r>
              <w:rPr>
                <w:rFonts w:ascii="Calibri" w:hAnsi="Calibri"/>
                <w:b/>
                <w:color w:val="2E7D32"/>
                <w:sz w:val="18"/>
              </w:rPr>
              <w:t>MET</w:t>
            </w:r>
          </w:p>
        </w:tc>
      </w:tr>
      <w:tr>
        <w:tc>
          <w:tcPr>
            <w:tcW w:type="dxa" w:w="3135"/>
            <w:shd w:fill="E8EEF4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8"/>
              </w:rPr>
              <w:t>5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Module regression suites per functional area</w:t>
            </w:r>
          </w:p>
        </w:tc>
        <w:tc>
          <w:tcPr>
            <w:tcW w:type="dxa" w:w="3135"/>
            <w:shd w:fill="E8F5E9" w:val="clear"/>
          </w:tcPr>
          <w:p>
            <w:r/>
            <w:r>
              <w:rPr>
                <w:rFonts w:ascii="Calibri" w:hAnsi="Calibri"/>
                <w:b/>
                <w:color w:val="2E7D32"/>
                <w:sz w:val="18"/>
              </w:rPr>
              <w:t>MET</w:t>
            </w:r>
          </w:p>
        </w:tc>
      </w:tr>
      <w:tr>
        <w:tc>
          <w:tcPr>
            <w:tcW w:type="dxa" w:w="3135"/>
            <w:shd w:fill="E8EEF4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8"/>
              </w:rPr>
              <w:t>6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HTML test reporting and Maven profile execution</w:t>
            </w:r>
          </w:p>
        </w:tc>
        <w:tc>
          <w:tcPr>
            <w:tcW w:type="dxa" w:w="3135"/>
            <w:shd w:fill="E8F5E9" w:val="clear"/>
          </w:tcPr>
          <w:p>
            <w:r/>
            <w:r>
              <w:rPr>
                <w:rFonts w:ascii="Calibri" w:hAnsi="Calibri"/>
                <w:b/>
                <w:color w:val="2E7D32"/>
                <w:sz w:val="18"/>
              </w:rPr>
              <w:t>MET</w:t>
            </w:r>
          </w:p>
        </w:tc>
      </w:tr>
      <w:tr>
        <w:tc>
          <w:tcPr>
            <w:tcW w:type="dxa" w:w="3135"/>
            <w:shd w:fill="E8EEF4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8"/>
              </w:rPr>
              <w:t>7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Dashboard + YTD summary endpoints automated</w:t>
            </w:r>
          </w:p>
        </w:tc>
        <w:tc>
          <w:tcPr>
            <w:tcW w:type="dxa" w:w="3135"/>
            <w:shd w:fill="E8F5E9" w:val="clear"/>
          </w:tcPr>
          <w:p>
            <w:r/>
            <w:r>
              <w:rPr>
                <w:rFonts w:ascii="Calibri" w:hAnsi="Calibri"/>
                <w:b/>
                <w:color w:val="2E7D32"/>
                <w:sz w:val="18"/>
              </w:rPr>
              <w:t>MET</w:t>
            </w:r>
          </w:p>
        </w:tc>
      </w:tr>
      <w:tr>
        <w:tc>
          <w:tcPr>
            <w:tcW w:type="dxa" w:w="3135"/>
            <w:shd w:fill="E8EEF4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8"/>
              </w:rPr>
              <w:t>8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Documented exclusions and destructive-test placement</w:t>
            </w:r>
          </w:p>
        </w:tc>
        <w:tc>
          <w:tcPr>
            <w:tcW w:type="dxa" w:w="3135"/>
            <w:shd w:fill="E8F5E9" w:val="clear"/>
          </w:tcPr>
          <w:p>
            <w:r/>
            <w:r>
              <w:rPr>
                <w:rFonts w:ascii="Calibri" w:hAnsi="Calibri"/>
                <w:b/>
                <w:color w:val="2E7D32"/>
                <w:sz w:val="18"/>
              </w:rPr>
              <w:t>MET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3057"/>
        </w:rPr>
        <w:t>4. Endpoint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568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568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1568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1568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568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Regression placement</w:t>
            </w:r>
          </w:p>
        </w:tc>
      </w:tr>
      <w:tr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6"/>
              </w:rPr>
              <w:t>M2-01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GET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/mobile2api/v1/mobileactivity/{ext}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Activity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/>
                <w:color w:val="003057"/>
                <w:sz w:val="16"/>
              </w:rPr>
              <w:t>Complete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Master regression</w:t>
            </w:r>
          </w:p>
        </w:tc>
      </w:tr>
      <w:tr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6"/>
              </w:rPr>
              <w:t>M2-02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GET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/mobile2api/v1/mobiletransactionhistory/{ext}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Transactions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/>
                <w:color w:val="003057"/>
                <w:sz w:val="16"/>
              </w:rPr>
              <w:t>Complete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Master regression</w:t>
            </w:r>
          </w:p>
        </w:tc>
      </w:tr>
      <w:tr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6"/>
              </w:rPr>
              <w:t>M2-03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GET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/mobile2api/v1/investments/{ext}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Investment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/>
                <w:color w:val="003057"/>
                <w:sz w:val="16"/>
              </w:rPr>
              <w:t>Complete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Master regression</w:t>
            </w:r>
          </w:p>
        </w:tc>
      </w:tr>
      <w:tr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6"/>
              </w:rPr>
              <w:t>M2-04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GET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/mobile2api/v1/mobilebanks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Banks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/>
                <w:color w:val="003057"/>
                <w:sz w:val="16"/>
              </w:rPr>
              <w:t>Complete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Master regression</w:t>
            </w:r>
          </w:p>
        </w:tc>
      </w:tr>
      <w:tr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6"/>
              </w:rPr>
              <w:t>M2-05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GET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/mobile2api/v1/mobilebanks/{id}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Banks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/>
                <w:color w:val="003057"/>
                <w:sz w:val="16"/>
              </w:rPr>
              <w:t>Complete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Master regression</w:t>
            </w:r>
          </w:p>
        </w:tc>
      </w:tr>
      <w:tr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6"/>
              </w:rPr>
              <w:t>M2-06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POST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/mobile2api/v1/mobilebanks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Banks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/>
                <w:color w:val="003057"/>
                <w:sz w:val="16"/>
              </w:rPr>
              <w:t>Complete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Master regression</w:t>
            </w:r>
          </w:p>
        </w:tc>
      </w:tr>
      <w:tr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6"/>
              </w:rPr>
              <w:t>M2-07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PUT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/mobile2api/v1/mobilebanks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Banks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/>
                <w:color w:val="003057"/>
                <w:sz w:val="16"/>
              </w:rPr>
              <w:t>Complete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Smoke / module only (destructive)</w:t>
            </w:r>
          </w:p>
        </w:tc>
      </w:tr>
      <w:tr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6"/>
              </w:rPr>
              <w:t>M2-08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DELETE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/mobile2api/v1/mobilebanks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Banks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/>
                <w:color w:val="003057"/>
                <w:sz w:val="16"/>
              </w:rPr>
              <w:t>Complete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Smoke / module only (destructive)</w:t>
            </w:r>
          </w:p>
        </w:tc>
      </w:tr>
      <w:tr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6"/>
              </w:rPr>
              <w:t>M2-09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GET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/mobile2api/v1/content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Content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/>
                <w:color w:val="003057"/>
                <w:sz w:val="16"/>
              </w:rPr>
              <w:t>Complete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Master regression</w:t>
            </w:r>
          </w:p>
        </w:tc>
      </w:tr>
      <w:tr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6"/>
              </w:rPr>
              <w:t>M2-10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GET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/mobile2api/v1/plans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Plans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/>
                <w:color w:val="003057"/>
                <w:sz w:val="16"/>
              </w:rPr>
              <w:t>Complete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Master regression</w:t>
            </w:r>
          </w:p>
        </w:tc>
      </w:tr>
      <w:tr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6"/>
              </w:rPr>
              <w:t>M2-11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GET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/mobile2api/v1/plans/{id}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Plans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/>
                <w:color w:val="003057"/>
                <w:sz w:val="16"/>
              </w:rPr>
              <w:t>Complete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Master regression</w:t>
            </w:r>
          </w:p>
        </w:tc>
      </w:tr>
      <w:tr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6"/>
              </w:rPr>
              <w:t>M2-12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GET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/mobile2api/v1/mobilecontribution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Contribution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/>
                <w:color w:val="003057"/>
                <w:sz w:val="16"/>
              </w:rPr>
              <w:t>Complete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Master regression</w:t>
            </w:r>
          </w:p>
        </w:tc>
      </w:tr>
      <w:tr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6"/>
              </w:rPr>
              <w:t>M2-13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GET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/mobile2api/v1/mobilecontributioncheck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Contribution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/>
                <w:color w:val="003057"/>
                <w:sz w:val="16"/>
              </w:rPr>
              <w:t>Complete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Master regression</w:t>
            </w:r>
          </w:p>
        </w:tc>
      </w:tr>
      <w:tr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6"/>
              </w:rPr>
              <w:t>M2-14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GET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/mobile2api/v1/mobilecontribution/{ext}/{id}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Contribution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/>
                <w:color w:val="003057"/>
                <w:sz w:val="16"/>
              </w:rPr>
              <w:t>Complete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Master regression; Stage 1 fixture note</w:t>
            </w:r>
          </w:p>
        </w:tc>
      </w:tr>
      <w:tr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6"/>
              </w:rPr>
              <w:t>M2-15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POST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/mobile2api/v1/mobilecontribution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Contribution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/>
                <w:color w:val="003057"/>
                <w:sz w:val="16"/>
              </w:rPr>
              <w:t>Complete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Master regression</w:t>
            </w:r>
          </w:p>
        </w:tc>
      </w:tr>
      <w:tr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6"/>
              </w:rPr>
              <w:t>M2-16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PUT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/mobile2api/v1/mobilecontribution/{ext}/{id}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Contribution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/>
                <w:color w:val="003057"/>
                <w:sz w:val="16"/>
              </w:rPr>
              <w:t>Complete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Master regression; Stage 1 fixture note</w:t>
            </w:r>
          </w:p>
        </w:tc>
      </w:tr>
      <w:tr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6"/>
              </w:rPr>
              <w:t>M2-17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DELETE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/mobile2api/v1/mobilecontribution/{ext}/{id}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Contribution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/>
                <w:color w:val="003057"/>
                <w:sz w:val="16"/>
              </w:rPr>
              <w:t>Complete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Module only (destructive)</w:t>
            </w:r>
          </w:p>
        </w:tc>
      </w:tr>
      <w:tr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6"/>
              </w:rPr>
              <w:t>M2-18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GET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/mobile2api/v1/mobiledashboard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Dashboard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/>
                <w:color w:val="003057"/>
                <w:sz w:val="16"/>
              </w:rPr>
              <w:t>Complete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Master regression</w:t>
            </w:r>
          </w:p>
        </w:tc>
      </w:tr>
      <w:tr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6"/>
              </w:rPr>
              <w:t>M2-19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GET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/mobile2api/v1/mobileytdsummary/{ext}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Dashboard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/>
                <w:color w:val="003057"/>
                <w:sz w:val="16"/>
              </w:rPr>
              <w:t>Complete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Master + smoke regression</w:t>
            </w:r>
          </w:p>
        </w:tc>
      </w:tr>
      <w:tr>
        <w:tc>
          <w:tcPr>
            <w:tcW w:type="dxa" w:w="1568"/>
            <w:shd w:fill="FFF3E0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6"/>
              </w:rPr>
              <w:t>M2-20</w:t>
            </w:r>
          </w:p>
        </w:tc>
        <w:tc>
          <w:tcPr>
            <w:tcW w:type="dxa" w:w="1568"/>
            <w:shd w:fill="FFF3E0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GET</w:t>
            </w:r>
          </w:p>
        </w:tc>
        <w:tc>
          <w:tcPr>
            <w:tcW w:type="dxa" w:w="1568"/>
            <w:shd w:fill="FFF3E0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/mobile2api/v1/mobilemembers/{planId}/{username}</w:t>
            </w:r>
          </w:p>
        </w:tc>
        <w:tc>
          <w:tcPr>
            <w:tcW w:type="dxa" w:w="1568"/>
            <w:shd w:fill="FFF3E0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Harness</w:t>
            </w:r>
          </w:p>
        </w:tc>
        <w:tc>
          <w:tcPr>
            <w:tcW w:type="dxa" w:w="1568"/>
            <w:shd w:fill="FFF3E0" w:val="clear"/>
          </w:tcPr>
          <w:p>
            <w:r/>
            <w:r>
              <w:rPr>
                <w:rFonts w:ascii="Calibri" w:hAnsi="Calibri"/>
                <w:b/>
                <w:color w:val="003057"/>
                <w:sz w:val="16"/>
              </w:rPr>
              <w:t>Excluded</w:t>
            </w:r>
          </w:p>
        </w:tc>
        <w:tc>
          <w:tcPr>
            <w:tcW w:type="dxa" w:w="1568"/>
            <w:shd w:fill="FFF3E0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Acceptance harness — out of business scope</w:t>
            </w:r>
          </w:p>
        </w:tc>
      </w:tr>
      <w:tr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6"/>
              </w:rPr>
              <w:t>M2-21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GET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/mobile2api/v1/mobilebalancetrend/{ext}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Balance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/>
                <w:color w:val="003057"/>
                <w:sz w:val="16"/>
              </w:rPr>
              <w:t>Complete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Master regression</w:t>
            </w:r>
          </w:p>
        </w:tc>
      </w:tr>
      <w:tr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6"/>
              </w:rPr>
              <w:t>M2-22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GET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/mobile2api/v1/mobileperformance/{ext}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Performance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/>
                <w:color w:val="003057"/>
                <w:sz w:val="16"/>
              </w:rPr>
              <w:t>Complete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Master regression</w:t>
            </w:r>
          </w:p>
        </w:tc>
      </w:tr>
      <w:tr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6"/>
              </w:rPr>
              <w:t>M2-23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GET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/mobile2api/v1/mobilestackup/{planId}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Stackup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/>
                <w:color w:val="003057"/>
                <w:sz w:val="16"/>
              </w:rPr>
              <w:t>Complete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Master regression</w:t>
            </w:r>
          </w:p>
        </w:tc>
      </w:tr>
      <w:tr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6"/>
              </w:rPr>
              <w:t>M2-24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GET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/mobile2api/v1/mobileugift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UGift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/>
                <w:color w:val="003057"/>
                <w:sz w:val="16"/>
              </w:rPr>
              <w:t>Complete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Master regression</w:t>
            </w:r>
          </w:p>
        </w:tc>
      </w:tr>
      <w:tr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6"/>
              </w:rPr>
              <w:t>M2-25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PATCH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/mobile2api/v1/mobileugift/{ext}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UGift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/>
                <w:color w:val="003057"/>
                <w:sz w:val="16"/>
              </w:rPr>
              <w:t>Complete</w:t>
            </w:r>
          </w:p>
        </w:tc>
        <w:tc>
          <w:tcPr>
            <w:tcW w:type="dxa" w:w="1568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6"/>
              </w:rPr>
              <w:t>Master regression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3057"/>
        </w:rPr>
        <w:t>5. Validation Standard Delivered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135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Delivered</w:t>
            </w:r>
          </w:p>
        </w:tc>
      </w:tr>
      <w:tr>
        <w:tc>
          <w:tcPr>
            <w:tcW w:type="dxa" w:w="3135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L1 — HTTP / Auth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Status codes, session tokens, transport and auth errors</w:t>
            </w:r>
          </w:p>
        </w:tc>
        <w:tc>
          <w:tcPr>
            <w:tcW w:type="dxa" w:w="3135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Yes</w:t>
            </w:r>
          </w:p>
        </w:tc>
      </w:tr>
      <w:tr>
        <w:tc>
          <w:tcPr>
            <w:tcW w:type="dxa" w:w="3135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L2 — Response contract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Content-type, JSON parsing, error payloads</w:t>
            </w:r>
          </w:p>
        </w:tc>
        <w:tc>
          <w:tcPr>
            <w:tcW w:type="dxa" w:w="3135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Yes</w:t>
            </w:r>
          </w:p>
        </w:tc>
      </w:tr>
      <w:tr>
        <w:tc>
          <w:tcPr>
            <w:tcW w:type="dxa" w:w="3135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L3 — Schema / structure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JSON schema validation, required fields, types</w:t>
            </w:r>
          </w:p>
        </w:tc>
        <w:tc>
          <w:tcPr>
            <w:tcW w:type="dxa" w:w="3135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Yes</w:t>
            </w:r>
          </w:p>
        </w:tc>
      </w:tr>
      <w:tr>
        <w:tc>
          <w:tcPr>
            <w:tcW w:type="dxa" w:w="3135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L4 — Business assertions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Field values, business rules, branding-specific checks</w:t>
            </w:r>
          </w:p>
        </w:tc>
        <w:tc>
          <w:tcPr>
            <w:tcW w:type="dxa" w:w="3135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Yes</w:t>
            </w:r>
          </w:p>
        </w:tc>
      </w:tr>
      <w:tr>
        <w:tc>
          <w:tcPr>
            <w:tcW w:type="dxa" w:w="3135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L5 — SQL API–DB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JDBC reconciliation against API JSON</w:t>
            </w:r>
          </w:p>
        </w:tc>
        <w:tc>
          <w:tcPr>
            <w:tcW w:type="dxa" w:w="3135"/>
            <w:shd w:fill="FFF3E0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Out of scope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3057"/>
        </w:rPr>
        <w:t>6. Framework &amp; Program Deliverables</w:t>
      </w:r>
    </w:p>
    <w:p>
      <w:pPr>
        <w:pStyle w:val="ListBullet"/>
      </w:pPr>
      <w:r>
        <w:t>Migration from legacy Cucumber to canonical TestNG framework</w:t>
      </w:r>
    </w:p>
    <w:p>
      <w:pPr>
        <w:pStyle w:val="ListBullet"/>
      </w:pPr>
      <w:r>
        <w:t>Shared authentication module with dynamic SQL credential loading (OKD + NMD)</w:t>
      </w:r>
    </w:p>
    <w:p>
      <w:pPr>
        <w:pStyle w:val="ListBullet"/>
      </w:pPr>
      <w:r>
        <w:t>19 Mobile 2 RequestTest classes covering all business functional areas</w:t>
      </w:r>
    </w:p>
    <w:p>
      <w:pPr>
        <w:pStyle w:val="ListBullet"/>
      </w:pPr>
      <w:r>
        <w:t>25 TestNG suite XML definitions and 30+ Maven execution profiles</w:t>
      </w:r>
    </w:p>
    <w:p>
      <w:pPr>
        <w:pStyle w:val="ListBullet"/>
      </w:pPr>
      <w:r>
        <w:t>Master regression suite (OKD + NMD branding runs)</w:t>
      </w:r>
    </w:p>
    <w:p>
      <w:pPr>
        <w:pStyle w:val="ListBullet"/>
      </w:pPr>
      <w:r>
        <w:t>Module regression suites per area (activity, banks, contribution, dashboard, etc.)</w:t>
      </w:r>
    </w:p>
    <w:p>
      <w:pPr>
        <w:pStyle w:val="ListBullet"/>
      </w:pPr>
      <w:r>
        <w:t>Smoke suite for destructive operations (PUT/DELETE banks) and harness endpoints</w:t>
      </w:r>
    </w:p>
    <w:p>
      <w:pPr>
        <w:pStyle w:val="ListBullet"/>
      </w:pPr>
      <w:r>
        <w:t>HTML reporting integration for test execution evidence</w:t>
      </w:r>
    </w:p>
    <w:p>
      <w:pPr>
        <w:pStyle w:val="ListBullet"/>
      </w:pPr>
      <w:r>
        <w:t>Dashboard automation including YTD summary endpoint</w:t>
      </w:r>
    </w:p>
    <w:p>
      <w:pPr>
        <w:pStyle w:val="ListBullet"/>
      </w:pPr>
      <w:r>
        <w:t>Custom reporting design for leadership and program metrics</w:t>
      </w:r>
    </w:p>
    <w:p>
      <w:pPr>
        <w:pStyle w:val="ListBullet"/>
      </w:pPr>
      <w:r>
        <w:t>GitHub Actions pipeline — Dashboard vertical slice validated</w:t>
      </w:r>
    </w:p>
    <w:p>
      <w:pPr>
        <w:pStyle w:val="ListBullet"/>
      </w:pPr>
      <w:r>
        <w:t>Performance regression foundation on Stage 1 (separate track)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3057"/>
        </w:rPr>
        <w:t>7. Environment &amp; Execution Evidence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EEF4" w:val="clear"/>
          </w:tcPr>
          <w:p>
            <w:pPr>
              <w:spacing w:before="160" w:after="160"/>
            </w:pPr>
            <w:r/>
            <w:r>
              <w:rPr>
                <w:rFonts w:ascii="Calibri" w:hAnsi="Calibri"/>
                <w:b/>
                <w:color w:val="003057"/>
                <w:sz w:val="22"/>
              </w:rPr>
              <w:t>Hybrid environment approach: Stage 1 is the primary execution environment for sign-off evidence while QC4 has team dependencies. Tests pass when authentication path is healthy.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3135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  <w:shd w:fill="E8EEF4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8"/>
              </w:rPr>
              <w:t>Stage 1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Primary evidence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Execution verified July 22, 2026 — NMD paths confirmed</w:t>
            </w:r>
          </w:p>
        </w:tc>
      </w:tr>
      <w:tr>
        <w:tc>
          <w:tcPr>
            <w:tcW w:type="dxa" w:w="3135"/>
            <w:shd w:fill="E8EEF4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8"/>
              </w:rPr>
              <w:t>QC4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Secondary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Re-run when environment stable; some OKD failures are env-specific</w:t>
            </w:r>
          </w:p>
        </w:tc>
      </w:tr>
      <w:tr>
        <w:tc>
          <w:tcPr>
            <w:tcW w:type="dxa" w:w="3135"/>
            <w:shd w:fill="E8EEF4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8"/>
              </w:rPr>
              <w:t>OKD branding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Supported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okdirect session path in master suite</w:t>
            </w:r>
          </w:p>
        </w:tc>
      </w:tr>
      <w:tr>
        <w:tc>
          <w:tcPr>
            <w:tcW w:type="dxa" w:w="3135"/>
            <w:shd w:fill="E8EEF4" w:val="clear"/>
          </w:tcPr>
          <w:p>
            <w:r/>
            <w:r>
              <w:rPr>
                <w:rFonts w:ascii="Calibri" w:hAnsi="Calibri"/>
                <w:b w:val="0"/>
                <w:color w:val="003057"/>
                <w:sz w:val="18"/>
              </w:rPr>
              <w:t>NMD branding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Supported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nmdirect / newyork session path in master suite</w:t>
            </w:r>
          </w:p>
        </w:tc>
      </w:tr>
    </w:tbl>
    <w:p>
      <w:pPr>
        <w:pStyle w:val="Heading2"/>
      </w:pPr>
      <w:r>
        <w:rPr>
          <w:rFonts w:ascii="Calibri" w:hAnsi="Calibri"/>
          <w:color w:val="003057"/>
        </w:rPr>
        <w:t>Prior baseline progression</w:t>
      </w:r>
    </w:p>
    <w:p>
      <w:r>
        <w:t>July 14, 2026 baseline: 22 of 25 endpoints (88%) verified at commit 7ccaf46. Subsequent delivery added YTD summary and Banks GET-by-id endpoints, bringing coverage to 24/25 (96.0%) at commit cee0de9.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3057"/>
        </w:rPr>
        <w:t>8. Known Limitations (Documented — Not Sign-Off Blockers)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03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Destructive tests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PUT/DELETE banks and DELETE contribution run in smoke/module suites only — excluded from master by design</w:t>
            </w:r>
          </w:p>
        </w:tc>
      </w:tr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Contribution detail/PUT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Stage 1 env-specific test-data fixture may return 401; QC4 fixture available</w:t>
            </w:r>
          </w:p>
        </w:tc>
      </w:tr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Harness endpoint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mobilemembers excluded from business numerator — smoke coverage only</w:t>
            </w:r>
          </w:p>
        </w:tc>
      </w:tr>
      <w:tr>
        <w:tc>
          <w:tcPr>
            <w:tcW w:type="dxa" w:w="4703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GitLab nightly job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  <w:t>Recurring scheduled regression — follow-up DevOps item (QA-1405)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3057"/>
        </w:rPr>
        <w:t>9. Explicitly Out of Scope</w:t>
      </w:r>
    </w:p>
    <w:p>
      <w:pPr>
        <w:pStyle w:val="ListBullet"/>
      </w:pPr>
      <w:r>
        <w:t>L5 SQL API–DB reconciliation (separate enhancement program if leadership approves)</w:t>
      </w:r>
    </w:p>
    <w:p>
      <w:pPr>
        <w:pStyle w:val="ListBullet"/>
      </w:pPr>
      <w:r>
        <w:t>Mobile 1 API business endpoint migration (active program — separate sign-off)</w:t>
      </w:r>
    </w:p>
    <w:p>
      <w:pPr>
        <w:pStyle w:val="ListBullet"/>
      </w:pPr>
      <w:r>
        <w:t>Enrollment API automation (future multi-sprint program)</w:t>
      </w:r>
    </w:p>
    <w:p>
      <w:pPr>
        <w:pStyle w:val="ListBullet"/>
      </w:pPr>
      <w:r>
        <w:t>Full GitLab nightly Mobile 2 regression scheduling (follow-up item)</w:t>
      </w:r>
    </w:p>
    <w:p>
      <w:pPr>
        <w:pStyle w:val="Heading1"/>
      </w:pPr>
      <w:r>
        <w:rPr>
          <w:rFonts w:ascii="Calibri" w:hAnsi="Calibri"/>
          <w:color w:val="003057"/>
        </w:rPr>
        <w:t>10. Sign-Off Approval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 w:val="clear"/>
          </w:tcPr>
          <w:p>
            <w:pPr>
              <w:spacing w:before="160" w:after="160"/>
            </w:pPr>
            <w:r/>
            <w:r>
              <w:rPr>
                <w:rFonts w:ascii="Calibri" w:hAnsi="Calibri"/>
                <w:b/>
                <w:color w:val="003057"/>
                <w:sz w:val="22"/>
              </w:rPr>
              <w:t>Mobile 2 API automation is hereby marked COMPLETE for the defined business scope (24/25 endpoints, 96.0%) effective July 23, 2026.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51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51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351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351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QA Automation Lead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</w:r>
          </w:p>
        </w:tc>
      </w:tr>
      <w:tr>
        <w:tc>
          <w:tcPr>
            <w:tcW w:type="dxa" w:w="2351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Program Lead / SME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</w:r>
          </w:p>
        </w:tc>
      </w:tr>
      <w:tr>
        <w:tc>
          <w:tcPr>
            <w:tcW w:type="dxa" w:w="2351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Engineering Lead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</w:r>
          </w:p>
        </w:tc>
      </w:tr>
      <w:tr>
        <w:tc>
          <w:tcPr>
            <w:tcW w:type="dxa" w:w="2351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18"/>
              </w:rPr>
              <w:t>Leadership Approval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color w:val="616161"/>
                <w:sz w:val="18"/>
              </w:rPr>
            </w:r>
          </w:p>
        </w:tc>
      </w:tr>
    </w:tbl>
    <w:p/>
    <w:p>
      <w:r>
        <w:rPr>
          <w:b/>
        </w:rPr>
        <w:t xml:space="preserve">Certification statement: </w:t>
      </w:r>
      <w:r>
        <w:t>The undersigned confirm that Mobile 2 API automation meets the sign-off criteria defined in Section 3, with documented exclusions in Sections 2 and 8, and validation through Layer 4 as the approved completion standard.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16161"/>
        <w:sz w:val="16"/>
      </w:rPr>
      <w:t>QA Automation — AMSQUAD  |  July 23,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16161"/>
        <w:sz w:val="16"/>
      </w:rPr>
      <w:t>Mobile 2 API Automation Sign-Off  | 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