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7365D"/>
          <w:sz w:val="56"/>
        </w:rPr>
        <w:t>DATA PIPELINE</w:t>
        <w:br/>
        <w:t>LOW-LEVEL DESIGN</w:t>
      </w:r>
    </w:p>
    <w:p>
      <w:pPr>
        <w:jc w:val="center"/>
      </w:pPr>
      <w:r>
        <w:rPr>
          <w:b/>
          <w:sz w:val="28"/>
        </w:rPr>
        <w:t>Databricks + Two SharePoint Sites → PostgreSQL</w:t>
      </w:r>
    </w:p>
    <w:p>
      <w:pPr>
        <w:jc w:val="center"/>
      </w:pPr>
      <w:r>
        <w:t>Azure Data Factory | ADLS Gen2 | Azure Key Vault | Databricks | PostgreSQL</w:t>
      </w:r>
    </w:p>
    <w:p/>
    <w:p>
      <w:pPr>
        <w:jc w:val="center"/>
      </w:pPr>
      <w:r>
        <w:drawing>
          <wp:inline xmlns:a="http://schemas.openxmlformats.org/drawingml/2006/main" xmlns:pic="http://schemas.openxmlformats.org/drawingml/2006/picture">
            <wp:extent cx="6446520" cy="4297680"/>
            <wp:docPr id="1" name="Picture 1"/>
            <wp:cNvGraphicFramePr>
              <a:graphicFrameLocks noChangeAspect="1"/>
            </wp:cNvGraphicFramePr>
            <a:graphic>
              <a:graphicData uri="http://schemas.openxmlformats.org/drawingml/2006/picture">
                <pic:pic>
                  <pic:nvPicPr>
                    <pic:cNvPr id="0" name="a_clean_infographic_diagram_image_of_a_data_pipeli.png"/>
                    <pic:cNvPicPr/>
                  </pic:nvPicPr>
                  <pic:blipFill>
                    <a:blip r:embed="rId11"/>
                    <a:stretch>
                      <a:fillRect/>
                    </a:stretch>
                  </pic:blipFill>
                  <pic:spPr>
                    <a:xfrm>
                      <a:off x="0" y="0"/>
                      <a:ext cx="6446520" cy="4297680"/>
                    </a:xfrm>
                    <a:prstGeom prst="rect"/>
                  </pic:spPr>
                </pic:pic>
              </a:graphicData>
            </a:graphic>
          </wp:inline>
        </w:drawing>
      </w:r>
    </w:p>
    <w:p>
      <w:pPr>
        <w:jc w:val="center"/>
      </w:pPr>
      <w:r>
        <w:rPr>
          <w:i/>
          <w:sz w:val="16"/>
        </w:rPr>
        <w:t>Figure 1. Proposed end-to-end architecture (conceptual; confirm environment-specific implementation details).</w:t>
      </w:r>
    </w:p>
    <w:p>
      <w:r>
        <w:br w:type="page"/>
      </w:r>
    </w:p>
    <w:p>
      <w:pPr>
        <w:pStyle w:val="Heading1"/>
        <w:keepNext/>
      </w:pPr>
      <w:r>
        <w:t>1. Document purpose</w:t>
      </w:r>
    </w:p>
    <w:p>
      <w:r>
        <w:t>This document describes how data will move from the agreed sources into PostgreSQL. It is written as an implementation-focused low-level design (LLD), using the confirmed project scope: existing Databricks tables/views, files from two distinct SharePoint sites, transformations and KPI calculations in Databricks, Azure Data Factory for orchestration, ADLS for file landing/temporary storage/archive where required, Azure Key Vault for secrets, and PostgreSQL as the final target.</w:t>
      </w:r>
    </w:p>
    <w:p>
      <w:r>
        <w:t>The design is metadata-driven where practical, but source-specific rules remain explicit. The two SharePoint sites are treated as separate sources because their site URLs, libraries, folder structures, access permissions, file patterns and schemas may differ.</w:t>
      </w:r>
    </w:p>
    <w:p>
      <w:r>
        <w:t>Important boundary: the actual SharePoint site URLs, library/folder names, Databricks object names, column mappings, PostgreSQL target schemas and KPI definitions are not present in the information provided in this request. The document therefore identifies the exact places where those already-existing project details must be inserted; it does not invent names or KPI formulas.</w:t>
      </w:r>
    </w:p>
    <w:p>
      <w:pPr>
        <w:pStyle w:val="Heading1"/>
        <w:keepNext/>
      </w:pPr>
      <w:r>
        <w:t>2. Confirmed scope and design decisions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Area</w:t>
            </w:r>
          </w:p>
        </w:tc>
        <w:tc>
          <w:tcPr>
            <w:tcW w:type="dxa" w:w="5141"/>
            <w:vAlign w:val="center"/>
            <w:shd w:fill="D9EAF7"/>
          </w:tcPr>
          <w:p>
            <w:pPr>
              <w:spacing w:after="20"/>
            </w:pPr>
            <w:r/>
            <w:r>
              <w:rPr>
                <w:rFonts w:ascii="Aptos" w:hAnsi="Aptos"/>
                <w:b/>
                <w:sz w:val="16"/>
              </w:rPr>
              <w:t>Confirmed design</w:t>
            </w:r>
          </w:p>
        </w:tc>
      </w:tr>
      <w:tr>
        <w:tc>
          <w:tcPr>
            <w:tcW w:type="dxa" w:w="5141"/>
            <w:vAlign w:val="center"/>
          </w:tcPr>
          <w:p>
            <w:pPr>
              <w:spacing w:after="20"/>
            </w:pPr>
            <w:r/>
            <w:r>
              <w:rPr>
                <w:rFonts w:ascii="Aptos" w:hAnsi="Aptos"/>
                <w:b w:val="0"/>
                <w:sz w:val="16"/>
              </w:rPr>
              <w:t>Sources</w:t>
            </w:r>
          </w:p>
        </w:tc>
        <w:tc>
          <w:tcPr>
            <w:tcW w:type="dxa" w:w="5141"/>
            <w:vAlign w:val="center"/>
          </w:tcPr>
          <w:p>
            <w:pPr>
              <w:spacing w:after="20"/>
            </w:pPr>
            <w:r/>
            <w:r>
              <w:rPr>
                <w:rFonts w:ascii="Aptos" w:hAnsi="Aptos"/>
                <w:b w:val="0"/>
                <w:sz w:val="16"/>
              </w:rPr>
              <w:t>1) Existing Databricks tables/views. 2) SharePoint Site 1. 3) SharePoint Site 2. No additional source systems are included.</w:t>
            </w:r>
          </w:p>
        </w:tc>
      </w:tr>
      <w:tr>
        <w:tc>
          <w:tcPr>
            <w:tcW w:type="dxa" w:w="5141"/>
            <w:vAlign w:val="center"/>
          </w:tcPr>
          <w:p>
            <w:pPr>
              <w:spacing w:after="20"/>
            </w:pPr>
            <w:r/>
            <w:r>
              <w:rPr>
                <w:rFonts w:ascii="Aptos" w:hAnsi="Aptos"/>
                <w:b w:val="0"/>
                <w:sz w:val="16"/>
              </w:rPr>
              <w:t>SharePoint treatment</w:t>
            </w:r>
          </w:p>
        </w:tc>
        <w:tc>
          <w:tcPr>
            <w:tcW w:type="dxa" w:w="5141"/>
            <w:vAlign w:val="center"/>
          </w:tcPr>
          <w:p>
            <w:pPr>
              <w:spacing w:after="20"/>
            </w:pPr>
            <w:r/>
            <w:r>
              <w:rPr>
                <w:rFonts w:ascii="Aptos" w:hAnsi="Aptos"/>
                <w:b w:val="0"/>
                <w:sz w:val="16"/>
              </w:rPr>
              <w:t>Two separate source configurations and access scopes. Site 1 and Site 2 must not be assumed to have the same file structure or schema.</w:t>
            </w:r>
          </w:p>
        </w:tc>
      </w:tr>
      <w:tr>
        <w:tc>
          <w:tcPr>
            <w:tcW w:type="dxa" w:w="5141"/>
            <w:vAlign w:val="center"/>
          </w:tcPr>
          <w:p>
            <w:pPr>
              <w:spacing w:after="20"/>
            </w:pPr>
            <w:r/>
            <w:r>
              <w:rPr>
                <w:rFonts w:ascii="Aptos" w:hAnsi="Aptos"/>
                <w:b w:val="0"/>
                <w:sz w:val="16"/>
              </w:rPr>
              <w:t>Orchestration</w:t>
            </w:r>
          </w:p>
        </w:tc>
        <w:tc>
          <w:tcPr>
            <w:tcW w:type="dxa" w:w="5141"/>
            <w:vAlign w:val="center"/>
          </w:tcPr>
          <w:p>
            <w:pPr>
              <w:spacing w:after="20"/>
            </w:pPr>
            <w:r/>
            <w:r>
              <w:rPr>
                <w:rFonts w:ascii="Aptos" w:hAnsi="Aptos"/>
                <w:b w:val="0"/>
                <w:sz w:val="16"/>
              </w:rPr>
              <w:t>Azure Data Factory triggers and coordinates source ingestion, Databricks jobs, PostgreSQL delivery, retries and notifications.</w:t>
            </w:r>
          </w:p>
        </w:tc>
      </w:tr>
      <w:tr>
        <w:tc>
          <w:tcPr>
            <w:tcW w:type="dxa" w:w="5141"/>
            <w:vAlign w:val="center"/>
          </w:tcPr>
          <w:p>
            <w:pPr>
              <w:spacing w:after="20"/>
            </w:pPr>
            <w:r/>
            <w:r>
              <w:rPr>
                <w:rFonts w:ascii="Aptos" w:hAnsi="Aptos"/>
                <w:b w:val="0"/>
                <w:sz w:val="16"/>
              </w:rPr>
              <w:t>Transformation</w:t>
            </w:r>
          </w:p>
        </w:tc>
        <w:tc>
          <w:tcPr>
            <w:tcW w:type="dxa" w:w="5141"/>
            <w:vAlign w:val="center"/>
          </w:tcPr>
          <w:p>
            <w:pPr>
              <w:spacing w:after="20"/>
            </w:pPr>
            <w:r/>
            <w:r>
              <w:rPr>
                <w:rFonts w:ascii="Aptos" w:hAnsi="Aptos"/>
                <w:b w:val="0"/>
                <w:sz w:val="16"/>
              </w:rPr>
              <w:t>All cleansing, standardisation, joins, filtering, aggregations and KPI calculations are implemented in Databricks. ADF does not contain business transformation logic.</w:t>
            </w:r>
          </w:p>
        </w:tc>
      </w:tr>
      <w:tr>
        <w:tc>
          <w:tcPr>
            <w:tcW w:type="dxa" w:w="5141"/>
            <w:vAlign w:val="center"/>
          </w:tcPr>
          <w:p>
            <w:pPr>
              <w:spacing w:after="20"/>
            </w:pPr>
            <w:r/>
            <w:r>
              <w:rPr>
                <w:rFonts w:ascii="Aptos" w:hAnsi="Aptos"/>
                <w:b w:val="0"/>
                <w:sz w:val="16"/>
              </w:rPr>
              <w:t>ADLS</w:t>
            </w:r>
          </w:p>
        </w:tc>
        <w:tc>
          <w:tcPr>
            <w:tcW w:type="dxa" w:w="5141"/>
            <w:vAlign w:val="center"/>
          </w:tcPr>
          <w:p>
            <w:pPr>
              <w:spacing w:after="20"/>
            </w:pPr>
            <w:r/>
            <w:r>
              <w:rPr>
                <w:rFonts w:ascii="Aptos" w:hAnsi="Aptos"/>
                <w:b w:val="0"/>
                <w:sz w:val="16"/>
              </w:rPr>
              <w:t>Supporting storage for SharePoint landing, raw file retention/archive and optional intermediate files, according to retention and security policy. It is not a separate business source.</w:t>
            </w:r>
          </w:p>
        </w:tc>
      </w:tr>
      <w:tr>
        <w:tc>
          <w:tcPr>
            <w:tcW w:type="dxa" w:w="5141"/>
            <w:vAlign w:val="center"/>
          </w:tcPr>
          <w:p>
            <w:pPr>
              <w:spacing w:after="20"/>
            </w:pPr>
            <w:r/>
            <w:r>
              <w:rPr>
                <w:rFonts w:ascii="Aptos" w:hAnsi="Aptos"/>
                <w:b w:val="0"/>
                <w:sz w:val="16"/>
              </w:rPr>
              <w:t>Azure Key Vault</w:t>
            </w:r>
          </w:p>
        </w:tc>
        <w:tc>
          <w:tcPr>
            <w:tcW w:type="dxa" w:w="5141"/>
            <w:vAlign w:val="center"/>
          </w:tcPr>
          <w:p>
            <w:pPr>
              <w:spacing w:after="20"/>
            </w:pPr>
            <w:r/>
            <w:r>
              <w:rPr>
                <w:rFonts w:ascii="Aptos" w:hAnsi="Aptos"/>
                <w:b w:val="0"/>
                <w:sz w:val="16"/>
              </w:rPr>
              <w:t>Stores credentials, tokens, connection secrets and other sensitive configuration. Secrets are referenced at runtime and are not stored in notebooks or metadata tables.</w:t>
            </w:r>
          </w:p>
        </w:tc>
      </w:tr>
      <w:tr>
        <w:tc>
          <w:tcPr>
            <w:tcW w:type="dxa" w:w="5141"/>
            <w:vAlign w:val="center"/>
          </w:tcPr>
          <w:p>
            <w:pPr>
              <w:spacing w:after="20"/>
            </w:pPr>
            <w:r/>
            <w:r>
              <w:rPr>
                <w:rFonts w:ascii="Aptos" w:hAnsi="Aptos"/>
                <w:b w:val="0"/>
                <w:sz w:val="16"/>
              </w:rPr>
              <w:t>Target</w:t>
            </w:r>
          </w:p>
        </w:tc>
        <w:tc>
          <w:tcPr>
            <w:tcW w:type="dxa" w:w="5141"/>
            <w:vAlign w:val="center"/>
          </w:tcPr>
          <w:p>
            <w:pPr>
              <w:spacing w:after="20"/>
            </w:pPr>
            <w:r/>
            <w:r>
              <w:rPr>
                <w:rFonts w:ascii="Aptos" w:hAnsi="Aptos"/>
                <w:b w:val="0"/>
                <w:sz w:val="16"/>
              </w:rPr>
              <w:t>PostgreSQL. Final curated output is delivered only after required Databricks checks pass.</w:t>
            </w:r>
          </w:p>
        </w:tc>
      </w:tr>
      <w:tr>
        <w:tc>
          <w:tcPr>
            <w:tcW w:type="dxa" w:w="5141"/>
            <w:vAlign w:val="center"/>
          </w:tcPr>
          <w:p>
            <w:pPr>
              <w:spacing w:after="20"/>
            </w:pPr>
            <w:r/>
            <w:r>
              <w:rPr>
                <w:rFonts w:ascii="Aptos" w:hAnsi="Aptos"/>
                <w:b w:val="0"/>
                <w:sz w:val="16"/>
              </w:rPr>
              <w:t>KPIs</w:t>
            </w:r>
          </w:p>
        </w:tc>
        <w:tc>
          <w:tcPr>
            <w:tcW w:type="dxa" w:w="5141"/>
            <w:vAlign w:val="center"/>
          </w:tcPr>
          <w:p>
            <w:pPr>
              <w:spacing w:after="20"/>
            </w:pPr>
            <w:r/>
            <w:r>
              <w:rPr>
                <w:rFonts w:ascii="Aptos" w:hAnsi="Aptos"/>
                <w:b w:val="0"/>
                <w:sz w:val="16"/>
              </w:rPr>
              <w:t>KPI list already exists. The approved KPI list is the source of truth; this LLD defines how the KPI list is implemented, tested and delivered without redefining the formulas.</w:t>
            </w:r>
          </w:p>
        </w:tc>
      </w:tr>
    </w:tbl>
    <w:p/>
    <w:p>
      <w:pPr>
        <w:pStyle w:val="Heading1"/>
        <w:keepNext/>
      </w:pPr>
      <w:r>
        <w:t>3. Architecture and component responsibilities</w:t>
      </w:r>
    </w:p>
    <w:p>
      <w:pPr>
        <w:jc w:val="center"/>
      </w:pPr>
      <w:r>
        <w:drawing>
          <wp:inline xmlns:a="http://schemas.openxmlformats.org/drawingml/2006/main" xmlns:pic="http://schemas.openxmlformats.org/drawingml/2006/picture">
            <wp:extent cx="6446520" cy="4297680"/>
            <wp:docPr id="2" name="Picture 2"/>
            <wp:cNvGraphicFramePr>
              <a:graphicFrameLocks noChangeAspect="1"/>
            </wp:cNvGraphicFramePr>
            <a:graphic>
              <a:graphicData uri="http://schemas.openxmlformats.org/drawingml/2006/picture">
                <pic:pic>
                  <pic:nvPicPr>
                    <pic:cNvPr id="0" name="a_clean_infographic_diagram_image_of_a_data_pipeli.png"/>
                    <pic:cNvPicPr/>
                  </pic:nvPicPr>
                  <pic:blipFill>
                    <a:blip r:embed="rId11"/>
                    <a:stretch>
                      <a:fillRect/>
                    </a:stretch>
                  </pic:blipFill>
                  <pic:spPr>
                    <a:xfrm>
                      <a:off x="0" y="0"/>
                      <a:ext cx="6446520" cy="4297680"/>
                    </a:xfrm>
                    <a:prstGeom prst="rect"/>
                  </pic:spPr>
                </pic:pic>
              </a:graphicData>
            </a:graphic>
          </wp:inline>
        </w:drawing>
      </w:r>
    </w:p>
    <w:p>
      <w:pPr>
        <w:jc w:val="center"/>
      </w:pPr>
      <w:r>
        <w:rPr>
          <w:i/>
        </w:rPr>
        <w:t>Figure 2. Architecture view included for implementation discussion.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20"/>
            </w:pPr>
            <w:r/>
            <w:r>
              <w:rPr>
                <w:rFonts w:ascii="Aptos" w:hAnsi="Aptos"/>
                <w:b/>
                <w:sz w:val="16"/>
              </w:rPr>
              <w:t>Component</w:t>
            </w:r>
          </w:p>
        </w:tc>
        <w:tc>
          <w:tcPr>
            <w:tcW w:type="dxa" w:w="3427"/>
            <w:vAlign w:val="center"/>
            <w:shd w:fill="D9EAF7"/>
          </w:tcPr>
          <w:p>
            <w:pPr>
              <w:spacing w:after="20"/>
            </w:pPr>
            <w:r/>
            <w:r>
              <w:rPr>
                <w:rFonts w:ascii="Aptos" w:hAnsi="Aptos"/>
                <w:b/>
                <w:sz w:val="16"/>
              </w:rPr>
              <w:t>Responsibility</w:t>
            </w:r>
          </w:p>
        </w:tc>
        <w:tc>
          <w:tcPr>
            <w:tcW w:type="dxa" w:w="3427"/>
            <w:vAlign w:val="center"/>
            <w:shd w:fill="D9EAF7"/>
          </w:tcPr>
          <w:p>
            <w:pPr>
              <w:spacing w:after="20"/>
            </w:pPr>
            <w:r/>
            <w:r>
              <w:rPr>
                <w:rFonts w:ascii="Aptos" w:hAnsi="Aptos"/>
                <w:b/>
                <w:sz w:val="16"/>
              </w:rPr>
              <w:t>Does not own</w:t>
            </w:r>
          </w:p>
        </w:tc>
      </w:tr>
      <w:tr>
        <w:tc>
          <w:tcPr>
            <w:tcW w:type="dxa" w:w="3427"/>
            <w:vAlign w:val="center"/>
          </w:tcPr>
          <w:p>
            <w:pPr>
              <w:spacing w:after="20"/>
            </w:pPr>
            <w:r/>
            <w:r>
              <w:rPr>
                <w:rFonts w:ascii="Aptos" w:hAnsi="Aptos"/>
                <w:b w:val="0"/>
                <w:sz w:val="16"/>
              </w:rPr>
              <w:t>Azure Data Factory</w:t>
            </w:r>
          </w:p>
        </w:tc>
        <w:tc>
          <w:tcPr>
            <w:tcW w:type="dxa" w:w="3427"/>
            <w:vAlign w:val="center"/>
          </w:tcPr>
          <w:p>
            <w:pPr>
              <w:spacing w:after="20"/>
            </w:pPr>
            <w:r/>
            <w:r>
              <w:rPr>
                <w:rFonts w:ascii="Aptos" w:hAnsi="Aptos"/>
                <w:b w:val="0"/>
                <w:sz w:val="16"/>
              </w:rPr>
              <w:t>Scheduling, dependency management, parameter passing, invoking Databricks, run status, bounded retries and failure notifications.</w:t>
            </w:r>
          </w:p>
        </w:tc>
        <w:tc>
          <w:tcPr>
            <w:tcW w:type="dxa" w:w="3427"/>
            <w:vAlign w:val="center"/>
          </w:tcPr>
          <w:p>
            <w:pPr>
              <w:spacing w:after="20"/>
            </w:pPr>
            <w:r/>
            <w:r>
              <w:rPr>
                <w:rFonts w:ascii="Aptos" w:hAnsi="Aptos"/>
                <w:b w:val="0"/>
                <w:sz w:val="16"/>
              </w:rPr>
              <w:t>Business calculations, complex cleansing or KPI formula implementation.</w:t>
            </w:r>
          </w:p>
        </w:tc>
      </w:tr>
      <w:tr>
        <w:tc>
          <w:tcPr>
            <w:tcW w:type="dxa" w:w="3427"/>
            <w:vAlign w:val="center"/>
          </w:tcPr>
          <w:p>
            <w:pPr>
              <w:spacing w:after="20"/>
            </w:pPr>
            <w:r/>
            <w:r>
              <w:rPr>
                <w:rFonts w:ascii="Aptos" w:hAnsi="Aptos"/>
                <w:b w:val="0"/>
                <w:sz w:val="16"/>
              </w:rPr>
              <w:t>SharePoint Site 1</w:t>
            </w:r>
          </w:p>
        </w:tc>
        <w:tc>
          <w:tcPr>
            <w:tcW w:type="dxa" w:w="3427"/>
            <w:vAlign w:val="center"/>
          </w:tcPr>
          <w:p>
            <w:pPr>
              <w:spacing w:after="20"/>
            </w:pPr>
            <w:r/>
            <w:r>
              <w:rPr>
                <w:rFonts w:ascii="Aptos" w:hAnsi="Aptos"/>
                <w:b w:val="0"/>
                <w:sz w:val="16"/>
              </w:rPr>
              <w:t>Provides the agreed files from its approved library/folder and naming pattern.</w:t>
            </w:r>
          </w:p>
        </w:tc>
        <w:tc>
          <w:tcPr>
            <w:tcW w:type="dxa" w:w="3427"/>
            <w:vAlign w:val="center"/>
          </w:tcPr>
          <w:p>
            <w:pPr>
              <w:spacing w:after="20"/>
            </w:pPr>
            <w:r/>
            <w:r>
              <w:rPr>
                <w:rFonts w:ascii="Aptos" w:hAnsi="Aptos"/>
                <w:b w:val="0"/>
                <w:sz w:val="16"/>
              </w:rPr>
              <w:t>Transformations or target data modelling.</w:t>
            </w:r>
          </w:p>
        </w:tc>
      </w:tr>
      <w:tr>
        <w:tc>
          <w:tcPr>
            <w:tcW w:type="dxa" w:w="3427"/>
            <w:vAlign w:val="center"/>
          </w:tcPr>
          <w:p>
            <w:pPr>
              <w:spacing w:after="20"/>
            </w:pPr>
            <w:r/>
            <w:r>
              <w:rPr>
                <w:rFonts w:ascii="Aptos" w:hAnsi="Aptos"/>
                <w:b w:val="0"/>
                <w:sz w:val="16"/>
              </w:rPr>
              <w:t>SharePoint Site 2</w:t>
            </w:r>
          </w:p>
        </w:tc>
        <w:tc>
          <w:tcPr>
            <w:tcW w:type="dxa" w:w="3427"/>
            <w:vAlign w:val="center"/>
          </w:tcPr>
          <w:p>
            <w:pPr>
              <w:spacing w:after="20"/>
            </w:pPr>
            <w:r/>
            <w:r>
              <w:rPr>
                <w:rFonts w:ascii="Aptos" w:hAnsi="Aptos"/>
                <w:b w:val="0"/>
                <w:sz w:val="16"/>
              </w:rPr>
              <w:t>Provides the agreed files from its own approved library/folder and naming pattern.</w:t>
            </w:r>
          </w:p>
        </w:tc>
        <w:tc>
          <w:tcPr>
            <w:tcW w:type="dxa" w:w="3427"/>
            <w:vAlign w:val="center"/>
          </w:tcPr>
          <w:p>
            <w:pPr>
              <w:spacing w:after="20"/>
            </w:pPr>
            <w:r/>
            <w:r>
              <w:rPr>
                <w:rFonts w:ascii="Aptos" w:hAnsi="Aptos"/>
                <w:b w:val="0"/>
                <w:sz w:val="16"/>
              </w:rPr>
              <w:t>Assuming Site 1's permissions, schema or folder path.</w:t>
            </w:r>
          </w:p>
        </w:tc>
      </w:tr>
      <w:tr>
        <w:tc>
          <w:tcPr>
            <w:tcW w:type="dxa" w:w="3427"/>
            <w:vAlign w:val="center"/>
          </w:tcPr>
          <w:p>
            <w:pPr>
              <w:spacing w:after="20"/>
            </w:pPr>
            <w:r/>
            <w:r>
              <w:rPr>
                <w:rFonts w:ascii="Aptos" w:hAnsi="Aptos"/>
                <w:b w:val="0"/>
                <w:sz w:val="16"/>
              </w:rPr>
              <w:t>Databricks tables/views</w:t>
            </w:r>
          </w:p>
        </w:tc>
        <w:tc>
          <w:tcPr>
            <w:tcW w:type="dxa" w:w="3427"/>
            <w:vAlign w:val="center"/>
          </w:tcPr>
          <w:p>
            <w:pPr>
              <w:spacing w:after="20"/>
            </w:pPr>
            <w:r/>
            <w:r>
              <w:rPr>
                <w:rFonts w:ascii="Aptos" w:hAnsi="Aptos"/>
                <w:b w:val="0"/>
                <w:sz w:val="16"/>
              </w:rPr>
              <w:t>Provide existing curated or prepared data required by the pipeline/KPI logic.</w:t>
            </w:r>
          </w:p>
        </w:tc>
        <w:tc>
          <w:tcPr>
            <w:tcW w:type="dxa" w:w="3427"/>
            <w:vAlign w:val="center"/>
          </w:tcPr>
          <w:p>
            <w:pPr>
              <w:spacing w:after="20"/>
            </w:pPr>
            <w:r/>
            <w:r>
              <w:rPr>
                <w:rFonts w:ascii="Aptos" w:hAnsi="Aptos"/>
                <w:b w:val="0"/>
                <w:sz w:val="16"/>
              </w:rPr>
              <w:t>Unapproved changes to source objects.</w:t>
            </w:r>
          </w:p>
        </w:tc>
      </w:tr>
      <w:tr>
        <w:tc>
          <w:tcPr>
            <w:tcW w:type="dxa" w:w="3427"/>
            <w:vAlign w:val="center"/>
          </w:tcPr>
          <w:p>
            <w:pPr>
              <w:spacing w:after="20"/>
            </w:pPr>
            <w:r/>
            <w:r>
              <w:rPr>
                <w:rFonts w:ascii="Aptos" w:hAnsi="Aptos"/>
                <w:b w:val="0"/>
                <w:sz w:val="16"/>
              </w:rPr>
              <w:t>ADLS Gen2</w:t>
            </w:r>
          </w:p>
        </w:tc>
        <w:tc>
          <w:tcPr>
            <w:tcW w:type="dxa" w:w="3427"/>
            <w:vAlign w:val="center"/>
          </w:tcPr>
          <w:p>
            <w:pPr>
              <w:spacing w:after="20"/>
            </w:pPr>
            <w:r/>
            <w:r>
              <w:rPr>
                <w:rFonts w:ascii="Aptos" w:hAnsi="Aptos"/>
                <w:b w:val="0"/>
                <w:sz w:val="16"/>
              </w:rPr>
              <w:t>Landing and archival of source files; optional intermediate datasets; replay support where policy permits.</w:t>
            </w:r>
          </w:p>
        </w:tc>
        <w:tc>
          <w:tcPr>
            <w:tcW w:type="dxa" w:w="3427"/>
            <w:vAlign w:val="center"/>
          </w:tcPr>
          <w:p>
            <w:pPr>
              <w:spacing w:after="20"/>
            </w:pPr>
            <w:r/>
            <w:r>
              <w:rPr>
                <w:rFonts w:ascii="Aptos" w:hAnsi="Aptos"/>
                <w:b w:val="0"/>
                <w:sz w:val="16"/>
              </w:rPr>
              <w:t>Long-term business-serving target unless separately agreed.</w:t>
            </w:r>
          </w:p>
        </w:tc>
      </w:tr>
      <w:tr>
        <w:tc>
          <w:tcPr>
            <w:tcW w:type="dxa" w:w="3427"/>
            <w:vAlign w:val="center"/>
          </w:tcPr>
          <w:p>
            <w:pPr>
              <w:spacing w:after="20"/>
            </w:pPr>
            <w:r/>
            <w:r>
              <w:rPr>
                <w:rFonts w:ascii="Aptos" w:hAnsi="Aptos"/>
                <w:b w:val="0"/>
                <w:sz w:val="16"/>
              </w:rPr>
              <w:t>Databricks</w:t>
            </w:r>
          </w:p>
        </w:tc>
        <w:tc>
          <w:tcPr>
            <w:tcW w:type="dxa" w:w="3427"/>
            <w:vAlign w:val="center"/>
          </w:tcPr>
          <w:p>
            <w:pPr>
              <w:spacing w:after="20"/>
            </w:pPr>
            <w:r/>
            <w:r>
              <w:rPr>
                <w:rFonts w:ascii="Aptos" w:hAnsi="Aptos"/>
                <w:b w:val="0"/>
                <w:sz w:val="16"/>
              </w:rPr>
              <w:t>Reads approved source views/tables and SharePoint landing files; applies all transformation, validation and KPI logic; creates target-ready datasets.</w:t>
            </w:r>
          </w:p>
        </w:tc>
        <w:tc>
          <w:tcPr>
            <w:tcW w:type="dxa" w:w="3427"/>
            <w:vAlign w:val="center"/>
          </w:tcPr>
          <w:p>
            <w:pPr>
              <w:spacing w:after="20"/>
            </w:pPr>
            <w:r/>
            <w:r>
              <w:rPr>
                <w:rFonts w:ascii="Aptos" w:hAnsi="Aptos"/>
                <w:b w:val="0"/>
                <w:sz w:val="16"/>
              </w:rPr>
              <w:t>Secret storage or orchestration scheduling.</w:t>
            </w:r>
          </w:p>
        </w:tc>
      </w:tr>
      <w:tr>
        <w:tc>
          <w:tcPr>
            <w:tcW w:type="dxa" w:w="3427"/>
            <w:vAlign w:val="center"/>
          </w:tcPr>
          <w:p>
            <w:pPr>
              <w:spacing w:after="20"/>
            </w:pPr>
            <w:r/>
            <w:r>
              <w:rPr>
                <w:rFonts w:ascii="Aptos" w:hAnsi="Aptos"/>
                <w:b w:val="0"/>
                <w:sz w:val="16"/>
              </w:rPr>
              <w:t>Azure Key Vault</w:t>
            </w:r>
          </w:p>
        </w:tc>
        <w:tc>
          <w:tcPr>
            <w:tcW w:type="dxa" w:w="3427"/>
            <w:vAlign w:val="center"/>
          </w:tcPr>
          <w:p>
            <w:pPr>
              <w:spacing w:after="20"/>
            </w:pPr>
            <w:r/>
            <w:r>
              <w:rPr>
                <w:rFonts w:ascii="Aptos" w:hAnsi="Aptos"/>
                <w:b w:val="0"/>
                <w:sz w:val="16"/>
              </w:rPr>
              <w:t>Securely holds credentials, tokens and connection secrets for approved identities.</w:t>
            </w:r>
          </w:p>
        </w:tc>
        <w:tc>
          <w:tcPr>
            <w:tcW w:type="dxa" w:w="3427"/>
            <w:vAlign w:val="center"/>
          </w:tcPr>
          <w:p>
            <w:pPr>
              <w:spacing w:after="20"/>
            </w:pPr>
            <w:r/>
            <w:r>
              <w:rPr>
                <w:rFonts w:ascii="Aptos" w:hAnsi="Aptos"/>
                <w:b w:val="0"/>
                <w:sz w:val="16"/>
              </w:rPr>
              <w:t>Business metadata or transformation logic.</w:t>
            </w:r>
          </w:p>
        </w:tc>
      </w:tr>
      <w:tr>
        <w:tc>
          <w:tcPr>
            <w:tcW w:type="dxa" w:w="3427"/>
            <w:vAlign w:val="center"/>
          </w:tcPr>
          <w:p>
            <w:pPr>
              <w:spacing w:after="20"/>
            </w:pPr>
            <w:r/>
            <w:r>
              <w:rPr>
                <w:rFonts w:ascii="Aptos" w:hAnsi="Aptos"/>
                <w:b w:val="0"/>
                <w:sz w:val="16"/>
              </w:rPr>
              <w:t>PostgreSQL</w:t>
            </w:r>
          </w:p>
        </w:tc>
        <w:tc>
          <w:tcPr>
            <w:tcW w:type="dxa" w:w="3427"/>
            <w:vAlign w:val="center"/>
          </w:tcPr>
          <w:p>
            <w:pPr>
              <w:spacing w:after="20"/>
            </w:pPr>
            <w:r/>
            <w:r>
              <w:rPr>
                <w:rFonts w:ascii="Aptos" w:hAnsi="Aptos"/>
                <w:b w:val="0"/>
                <w:sz w:val="16"/>
              </w:rPr>
              <w:t>Stores final delivered tables for downstream consumers; enforces target constraints and indexes.</w:t>
            </w:r>
          </w:p>
        </w:tc>
        <w:tc>
          <w:tcPr>
            <w:tcW w:type="dxa" w:w="3427"/>
            <w:vAlign w:val="center"/>
          </w:tcPr>
          <w:p>
            <w:pPr>
              <w:spacing w:after="20"/>
            </w:pPr>
            <w:r/>
            <w:r>
              <w:rPr>
                <w:rFonts w:ascii="Aptos" w:hAnsi="Aptos"/>
                <w:b w:val="0"/>
                <w:sz w:val="16"/>
              </w:rPr>
              <w:t>Source cleansing/KPI calculation logic already assigned to Databricks.</w:t>
            </w:r>
          </w:p>
        </w:tc>
      </w:tr>
    </w:tbl>
    <w:p/>
    <w:p>
      <w:pPr>
        <w:pStyle w:val="Heading1"/>
        <w:keepNext/>
      </w:pPr>
      <w:r>
        <w:t>4. End-to-end data flow</w:t>
      </w:r>
    </w:p>
    <w:p>
      <w:pPr>
        <w:pStyle w:val="ListNumber"/>
        <w:spacing w:after="40"/>
      </w:pPr>
      <w:r>
        <w:t>ADF starts a pipeline using the configured schedule or an approved on-demand trigger and creates a unique run_id.</w:t>
      </w:r>
    </w:p>
    <w:p>
      <w:pPr>
        <w:pStyle w:val="ListNumber"/>
        <w:spacing w:after="40"/>
      </w:pPr>
      <w:r>
        <w:t>ADF reads the enabled source configuration for SharePoint Site 1 and SharePoint Site 2 independently. It also identifies the Databricks views/tables required by the run.</w:t>
      </w:r>
    </w:p>
    <w:p>
      <w:pPr>
        <w:pStyle w:val="ListNumber"/>
        <w:spacing w:after="40"/>
      </w:pPr>
      <w:r>
        <w:t>For SharePoint, ADF uses the approved SharePoint connector/authentication pattern to list and copy only files matching the configured library, folder and file pattern. The original files are landed in ADLS and tracked in an audit log.</w:t>
      </w:r>
    </w:p>
    <w:p>
      <w:pPr>
        <w:pStyle w:val="ListNumber"/>
        <w:spacing w:after="40"/>
      </w:pPr>
      <w:r>
        <w:t>Databricks reads the landed files and the required existing Databricks source tables/views. It applies explicit schemas and the agreed source-to-target mapping.</w:t>
      </w:r>
    </w:p>
    <w:p>
      <w:pPr>
        <w:pStyle w:val="ListNumber"/>
        <w:spacing w:after="40"/>
      </w:pPr>
      <w:r>
        <w:t>Databricks applies the existing approved cleansing, standardisation, join, filtering, aggregation and KPI logic. Output is written to controlled Delta objects or prepared as a target-ready dataset.</w:t>
      </w:r>
    </w:p>
    <w:p>
      <w:pPr>
        <w:pStyle w:val="ListNumber"/>
        <w:spacing w:after="40"/>
      </w:pPr>
      <w:r>
        <w:t>Databricks runs blocking data-quality checks and creates a record of passed/failed checks, accepted rows, rejected rows and rule-level results.</w:t>
      </w:r>
    </w:p>
    <w:p>
      <w:pPr>
        <w:pStyle w:val="ListNumber"/>
        <w:spacing w:after="40"/>
      </w:pPr>
      <w:r>
        <w:t>If required checks pass, the approved output is sent to PostgreSQL using the configured load strategy for each target table.</w:t>
      </w:r>
    </w:p>
    <w:p>
      <w:pPr>
        <w:pStyle w:val="ListNumber"/>
        <w:spacing w:after="40"/>
      </w:pPr>
      <w:r>
        <w:t>Post-load reconciliation compares target results with the approved Databricks output. Only after a successful delivery and required reconciliation is the run marked successful.</w:t>
      </w:r>
    </w:p>
    <w:p>
      <w:pPr>
        <w:pStyle w:val="ListNumber"/>
        <w:spacing w:after="40"/>
      </w:pPr>
      <w:r>
        <w:t>ADF records the final status and sends alerts for failures, missing files, quality threshold breaches or reconciliation discrepancies.</w:t>
      </w:r>
    </w:p>
    <w:p>
      <w:pPr>
        <w:pStyle w:val="Heading1"/>
        <w:keepNext/>
      </w:pPr>
      <w:r>
        <w:t>5. Source-specific low-level design</w:t>
      </w:r>
    </w:p>
    <w:p>
      <w:pPr>
        <w:pStyle w:val="Heading2"/>
        <w:keepNext/>
      </w:pPr>
      <w:r>
        <w:t>5.1 Existing Databricks views and tables</w:t>
      </w:r>
    </w:p>
    <w:p>
      <w:r>
        <w:t>These objects are direct data sources for the processing layer. They should be referenced by fully qualified Unity Catalog names where applicable: catalog.schema.object. No unnecessary copy should be created just to move data between Databricks objects unless isolation, performance, snapshotting or audit requirements justify it.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Design item</w:t>
            </w:r>
          </w:p>
        </w:tc>
        <w:tc>
          <w:tcPr>
            <w:tcW w:type="dxa" w:w="5141"/>
            <w:vAlign w:val="center"/>
            <w:shd w:fill="D9EAF7"/>
          </w:tcPr>
          <w:p>
            <w:pPr>
              <w:spacing w:after="20"/>
            </w:pPr>
            <w:r/>
            <w:r>
              <w:rPr>
                <w:rFonts w:ascii="Aptos" w:hAnsi="Aptos"/>
                <w:b/>
                <w:sz w:val="16"/>
              </w:rPr>
              <w:t>Implementation detail to capture</w:t>
            </w:r>
          </w:p>
        </w:tc>
      </w:tr>
      <w:tr>
        <w:tc>
          <w:tcPr>
            <w:tcW w:type="dxa" w:w="5141"/>
            <w:vAlign w:val="center"/>
          </w:tcPr>
          <w:p>
            <w:pPr>
              <w:spacing w:after="20"/>
            </w:pPr>
            <w:r/>
            <w:r>
              <w:rPr>
                <w:rFonts w:ascii="Aptos" w:hAnsi="Aptos"/>
                <w:b w:val="0"/>
                <w:sz w:val="16"/>
              </w:rPr>
              <w:t>Source object inventory</w:t>
            </w:r>
          </w:p>
        </w:tc>
        <w:tc>
          <w:tcPr>
            <w:tcW w:type="dxa" w:w="5141"/>
            <w:vAlign w:val="center"/>
          </w:tcPr>
          <w:p>
            <w:pPr>
              <w:spacing w:after="20"/>
            </w:pPr>
            <w:r/>
            <w:r>
              <w:rPr>
                <w:rFonts w:ascii="Aptos" w:hAnsi="Aptos"/>
                <w:b w:val="0"/>
                <w:sz w:val="16"/>
              </w:rPr>
              <w:t>List every required Databricks view/table, fully qualified name, owner, purpose and refresh dependency.</w:t>
            </w:r>
          </w:p>
        </w:tc>
      </w:tr>
      <w:tr>
        <w:tc>
          <w:tcPr>
            <w:tcW w:type="dxa" w:w="5141"/>
            <w:vAlign w:val="center"/>
          </w:tcPr>
          <w:p>
            <w:pPr>
              <w:spacing w:after="20"/>
            </w:pPr>
            <w:r/>
            <w:r>
              <w:rPr>
                <w:rFonts w:ascii="Aptos" w:hAnsi="Aptos"/>
                <w:b w:val="0"/>
                <w:sz w:val="16"/>
              </w:rPr>
              <w:t>Read method</w:t>
            </w:r>
          </w:p>
        </w:tc>
        <w:tc>
          <w:tcPr>
            <w:tcW w:type="dxa" w:w="5141"/>
            <w:vAlign w:val="center"/>
          </w:tcPr>
          <w:p>
            <w:pPr>
              <w:spacing w:after="20"/>
            </w:pPr>
            <w:r/>
            <w:r>
              <w:rPr>
                <w:rFonts w:ascii="Aptos" w:hAnsi="Aptos"/>
                <w:b w:val="0"/>
                <w:sz w:val="16"/>
              </w:rPr>
              <w:t>Read using Databricks Spark/SQL with the approved catalog and schema permissions.</w:t>
            </w:r>
          </w:p>
        </w:tc>
      </w:tr>
      <w:tr>
        <w:tc>
          <w:tcPr>
            <w:tcW w:type="dxa" w:w="5141"/>
            <w:vAlign w:val="center"/>
          </w:tcPr>
          <w:p>
            <w:pPr>
              <w:spacing w:after="20"/>
            </w:pPr>
            <w:r/>
            <w:r>
              <w:rPr>
                <w:rFonts w:ascii="Aptos" w:hAnsi="Aptos"/>
                <w:b w:val="0"/>
                <w:sz w:val="16"/>
              </w:rPr>
              <w:t>Schema contract</w:t>
            </w:r>
          </w:p>
        </w:tc>
        <w:tc>
          <w:tcPr>
            <w:tcW w:type="dxa" w:w="5141"/>
            <w:vAlign w:val="center"/>
          </w:tcPr>
          <w:p>
            <w:pPr>
              <w:spacing w:after="20"/>
            </w:pPr>
            <w:r/>
            <w:r>
              <w:rPr>
                <w:rFonts w:ascii="Aptos" w:hAnsi="Aptos"/>
                <w:b w:val="0"/>
                <w:sz w:val="16"/>
              </w:rPr>
              <w:t>Record each required column, source data type, nullable status, business meaning and downstream use.</w:t>
            </w:r>
          </w:p>
        </w:tc>
      </w:tr>
      <w:tr>
        <w:tc>
          <w:tcPr>
            <w:tcW w:type="dxa" w:w="5141"/>
            <w:vAlign w:val="center"/>
          </w:tcPr>
          <w:p>
            <w:pPr>
              <w:spacing w:after="20"/>
            </w:pPr>
            <w:r/>
            <w:r>
              <w:rPr>
                <w:rFonts w:ascii="Aptos" w:hAnsi="Aptos"/>
                <w:b w:val="0"/>
                <w:sz w:val="16"/>
              </w:rPr>
              <w:t>Freshness dependency</w:t>
            </w:r>
          </w:p>
        </w:tc>
        <w:tc>
          <w:tcPr>
            <w:tcW w:type="dxa" w:w="5141"/>
            <w:vAlign w:val="center"/>
          </w:tcPr>
          <w:p>
            <w:pPr>
              <w:spacing w:after="20"/>
            </w:pPr>
            <w:r/>
            <w:r>
              <w:rPr>
                <w:rFonts w:ascii="Aptos" w:hAnsi="Aptos"/>
                <w:b w:val="0"/>
                <w:sz w:val="16"/>
              </w:rPr>
              <w:t>Document how the pipeline knows the view/table is ready and which upstream job or refresh it depends on.</w:t>
            </w:r>
          </w:p>
        </w:tc>
      </w:tr>
      <w:tr>
        <w:tc>
          <w:tcPr>
            <w:tcW w:type="dxa" w:w="5141"/>
            <w:vAlign w:val="center"/>
          </w:tcPr>
          <w:p>
            <w:pPr>
              <w:spacing w:after="20"/>
            </w:pPr>
            <w:r/>
            <w:r>
              <w:rPr>
                <w:rFonts w:ascii="Aptos" w:hAnsi="Aptos"/>
                <w:b w:val="0"/>
                <w:sz w:val="16"/>
              </w:rPr>
              <w:t>Transformation dependency</w:t>
            </w:r>
          </w:p>
        </w:tc>
        <w:tc>
          <w:tcPr>
            <w:tcW w:type="dxa" w:w="5141"/>
            <w:vAlign w:val="center"/>
          </w:tcPr>
          <w:p>
            <w:pPr>
              <w:spacing w:after="20"/>
            </w:pPr>
            <w:r/>
            <w:r>
              <w:rPr>
                <w:rFonts w:ascii="Aptos" w:hAnsi="Aptos"/>
                <w:b w:val="0"/>
                <w:sz w:val="16"/>
              </w:rPr>
              <w:t>Map each object/column to the relevant Silver/Gold output and existing KPI definition.</w:t>
            </w:r>
          </w:p>
        </w:tc>
      </w:tr>
      <w:tr>
        <w:tc>
          <w:tcPr>
            <w:tcW w:type="dxa" w:w="5141"/>
            <w:vAlign w:val="center"/>
          </w:tcPr>
          <w:p>
            <w:pPr>
              <w:spacing w:after="20"/>
            </w:pPr>
            <w:r/>
            <w:r>
              <w:rPr>
                <w:rFonts w:ascii="Aptos" w:hAnsi="Aptos"/>
                <w:b w:val="0"/>
                <w:sz w:val="16"/>
              </w:rPr>
              <w:t>Change handling</w:t>
            </w:r>
          </w:p>
        </w:tc>
        <w:tc>
          <w:tcPr>
            <w:tcW w:type="dxa" w:w="5141"/>
            <w:vAlign w:val="center"/>
          </w:tcPr>
          <w:p>
            <w:pPr>
              <w:spacing w:after="20"/>
            </w:pPr>
            <w:r/>
            <w:r>
              <w:rPr>
                <w:rFonts w:ascii="Aptos" w:hAnsi="Aptos"/>
                <w:b w:val="0"/>
                <w:sz w:val="16"/>
              </w:rPr>
              <w:t>Review schema changes to source views/tables; fail clearly if a required field disappears or changes incompatibly.</w:t>
            </w:r>
          </w:p>
        </w:tc>
      </w:tr>
      <w:tr>
        <w:tc>
          <w:tcPr>
            <w:tcW w:type="dxa" w:w="5141"/>
            <w:vAlign w:val="center"/>
          </w:tcPr>
          <w:p>
            <w:pPr>
              <w:spacing w:after="20"/>
            </w:pPr>
            <w:r/>
            <w:r>
              <w:rPr>
                <w:rFonts w:ascii="Aptos" w:hAnsi="Aptos"/>
                <w:b w:val="0"/>
                <w:sz w:val="16"/>
              </w:rPr>
              <w:t>Audit</w:t>
            </w:r>
          </w:p>
        </w:tc>
        <w:tc>
          <w:tcPr>
            <w:tcW w:type="dxa" w:w="5141"/>
            <w:vAlign w:val="center"/>
          </w:tcPr>
          <w:p>
            <w:pPr>
              <w:spacing w:after="20"/>
            </w:pPr>
            <w:r/>
            <w:r>
              <w:rPr>
                <w:rFonts w:ascii="Aptos" w:hAnsi="Aptos"/>
                <w:b w:val="0"/>
                <w:sz w:val="16"/>
              </w:rPr>
              <w:t>Record source object names, run_id, processing timestamp and row counts where practical.</w:t>
            </w:r>
          </w:p>
        </w:tc>
      </w:tr>
    </w:tbl>
    <w:p/>
    <w:p>
      <w:pPr>
        <w:pStyle w:val="Heading2"/>
        <w:keepNext/>
      </w:pPr>
      <w:r>
        <w:t>5.2 SharePoint Site 1</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Configuration field</w:t>
            </w:r>
          </w:p>
        </w:tc>
        <w:tc>
          <w:tcPr>
            <w:tcW w:type="dxa" w:w="5141"/>
            <w:vAlign w:val="center"/>
            <w:shd w:fill="D9EAF7"/>
          </w:tcPr>
          <w:p>
            <w:pPr>
              <w:spacing w:after="20"/>
            </w:pPr>
            <w:r/>
            <w:r>
              <w:rPr>
                <w:rFonts w:ascii="Aptos" w:hAnsi="Aptos"/>
                <w:b/>
                <w:sz w:val="16"/>
              </w:rPr>
              <w:t>Value to populate from the project</w:t>
            </w:r>
          </w:p>
        </w:tc>
      </w:tr>
      <w:tr>
        <w:tc>
          <w:tcPr>
            <w:tcW w:type="dxa" w:w="5141"/>
            <w:vAlign w:val="center"/>
          </w:tcPr>
          <w:p>
            <w:pPr>
              <w:spacing w:after="20"/>
            </w:pPr>
            <w:r/>
            <w:r>
              <w:rPr>
                <w:rFonts w:ascii="Aptos" w:hAnsi="Aptos"/>
                <w:b w:val="0"/>
                <w:sz w:val="16"/>
              </w:rPr>
              <w:t>Source ID</w:t>
            </w:r>
          </w:p>
        </w:tc>
        <w:tc>
          <w:tcPr>
            <w:tcW w:type="dxa" w:w="5141"/>
            <w:vAlign w:val="center"/>
          </w:tcPr>
          <w:p>
            <w:pPr>
              <w:spacing w:after="20"/>
            </w:pPr>
            <w:r/>
            <w:r>
              <w:rPr>
                <w:rFonts w:ascii="Aptos" w:hAnsi="Aptos"/>
                <w:b w:val="0"/>
                <w:sz w:val="16"/>
              </w:rPr>
              <w:t>SP_SITE_1</w:t>
            </w:r>
          </w:p>
        </w:tc>
      </w:tr>
      <w:tr>
        <w:tc>
          <w:tcPr>
            <w:tcW w:type="dxa" w:w="5141"/>
            <w:vAlign w:val="center"/>
          </w:tcPr>
          <w:p>
            <w:pPr>
              <w:spacing w:after="20"/>
            </w:pPr>
            <w:r/>
            <w:r>
              <w:rPr>
                <w:rFonts w:ascii="Aptos" w:hAnsi="Aptos"/>
                <w:b w:val="0"/>
                <w:sz w:val="16"/>
              </w:rPr>
              <w:t>Site URL</w:t>
            </w:r>
          </w:p>
        </w:tc>
        <w:tc>
          <w:tcPr>
            <w:tcW w:type="dxa" w:w="5141"/>
            <w:vAlign w:val="center"/>
          </w:tcPr>
          <w:p>
            <w:pPr>
              <w:spacing w:after="20"/>
            </w:pPr>
            <w:r/>
            <w:r>
              <w:rPr>
                <w:rFonts w:ascii="Aptos" w:hAnsi="Aptos"/>
                <w:b w:val="0"/>
                <w:sz w:val="16"/>
              </w:rPr>
              <w:t>TBD — exact URL</w:t>
            </w:r>
          </w:p>
        </w:tc>
      </w:tr>
      <w:tr>
        <w:tc>
          <w:tcPr>
            <w:tcW w:type="dxa" w:w="5141"/>
            <w:vAlign w:val="center"/>
          </w:tcPr>
          <w:p>
            <w:pPr>
              <w:spacing w:after="20"/>
            </w:pPr>
            <w:r/>
            <w:r>
              <w:rPr>
                <w:rFonts w:ascii="Aptos" w:hAnsi="Aptos"/>
                <w:b w:val="0"/>
                <w:sz w:val="16"/>
              </w:rPr>
              <w:t>Document library / folder</w:t>
            </w:r>
          </w:p>
        </w:tc>
        <w:tc>
          <w:tcPr>
            <w:tcW w:type="dxa" w:w="5141"/>
            <w:vAlign w:val="center"/>
          </w:tcPr>
          <w:p>
            <w:pPr>
              <w:spacing w:after="20"/>
            </w:pPr>
            <w:r/>
            <w:r>
              <w:rPr>
                <w:rFonts w:ascii="Aptos" w:hAnsi="Aptos"/>
                <w:b w:val="0"/>
                <w:sz w:val="16"/>
              </w:rPr>
              <w:t>TBD — exact library and folder path</w:t>
            </w:r>
          </w:p>
        </w:tc>
      </w:tr>
      <w:tr>
        <w:tc>
          <w:tcPr>
            <w:tcW w:type="dxa" w:w="5141"/>
            <w:vAlign w:val="center"/>
          </w:tcPr>
          <w:p>
            <w:pPr>
              <w:spacing w:after="20"/>
            </w:pPr>
            <w:r/>
            <w:r>
              <w:rPr>
                <w:rFonts w:ascii="Aptos" w:hAnsi="Aptos"/>
                <w:b w:val="0"/>
                <w:sz w:val="16"/>
              </w:rPr>
              <w:t>File patterns / extensions</w:t>
            </w:r>
          </w:p>
        </w:tc>
        <w:tc>
          <w:tcPr>
            <w:tcW w:type="dxa" w:w="5141"/>
            <w:vAlign w:val="center"/>
          </w:tcPr>
          <w:p>
            <w:pPr>
              <w:spacing w:after="20"/>
            </w:pPr>
            <w:r/>
            <w:r>
              <w:rPr>
                <w:rFonts w:ascii="Aptos" w:hAnsi="Aptos"/>
                <w:b w:val="0"/>
                <w:sz w:val="16"/>
              </w:rPr>
              <w:t>TBD — for example agreed CSV/Excel files and naming pattern</w:t>
            </w:r>
          </w:p>
        </w:tc>
      </w:tr>
      <w:tr>
        <w:tc>
          <w:tcPr>
            <w:tcW w:type="dxa" w:w="5141"/>
            <w:vAlign w:val="center"/>
          </w:tcPr>
          <w:p>
            <w:pPr>
              <w:spacing w:after="20"/>
            </w:pPr>
            <w:r/>
            <w:r>
              <w:rPr>
                <w:rFonts w:ascii="Aptos" w:hAnsi="Aptos"/>
                <w:b w:val="0"/>
                <w:sz w:val="16"/>
              </w:rPr>
              <w:t>Authentication / identity</w:t>
            </w:r>
          </w:p>
        </w:tc>
        <w:tc>
          <w:tcPr>
            <w:tcW w:type="dxa" w:w="5141"/>
            <w:vAlign w:val="center"/>
          </w:tcPr>
          <w:p>
            <w:pPr>
              <w:spacing w:after="20"/>
            </w:pPr>
            <w:r/>
            <w:r>
              <w:rPr>
                <w:rFonts w:ascii="Aptos" w:hAnsi="Aptos"/>
                <w:b w:val="0"/>
                <w:sz w:val="16"/>
              </w:rPr>
              <w:t>Approved service principal or other enterprise-approved connector identity; confirm tenant and permission model</w:t>
            </w:r>
          </w:p>
        </w:tc>
      </w:tr>
      <w:tr>
        <w:tc>
          <w:tcPr>
            <w:tcW w:type="dxa" w:w="5141"/>
            <w:vAlign w:val="center"/>
          </w:tcPr>
          <w:p>
            <w:pPr>
              <w:spacing w:after="20"/>
            </w:pPr>
            <w:r/>
            <w:r>
              <w:rPr>
                <w:rFonts w:ascii="Aptos" w:hAnsi="Aptos"/>
                <w:b w:val="0"/>
                <w:sz w:val="16"/>
              </w:rPr>
              <w:t>Secrets</w:t>
            </w:r>
          </w:p>
        </w:tc>
        <w:tc>
          <w:tcPr>
            <w:tcW w:type="dxa" w:w="5141"/>
            <w:vAlign w:val="center"/>
          </w:tcPr>
          <w:p>
            <w:pPr>
              <w:spacing w:after="20"/>
            </w:pPr>
            <w:r/>
            <w:r>
              <w:rPr>
                <w:rFonts w:ascii="Aptos" w:hAnsi="Aptos"/>
                <w:b w:val="0"/>
                <w:sz w:val="16"/>
              </w:rPr>
              <w:t>Stored in Key Vault; never in notebook or ADF plain-text parameters</w:t>
            </w:r>
          </w:p>
        </w:tc>
      </w:tr>
      <w:tr>
        <w:tc>
          <w:tcPr>
            <w:tcW w:type="dxa" w:w="5141"/>
            <w:vAlign w:val="center"/>
          </w:tcPr>
          <w:p>
            <w:pPr>
              <w:spacing w:after="20"/>
            </w:pPr>
            <w:r/>
            <w:r>
              <w:rPr>
                <w:rFonts w:ascii="Aptos" w:hAnsi="Aptos"/>
                <w:b w:val="0"/>
                <w:sz w:val="16"/>
              </w:rPr>
              <w:t>Landing path</w:t>
            </w:r>
          </w:p>
        </w:tc>
        <w:tc>
          <w:tcPr>
            <w:tcW w:type="dxa" w:w="5141"/>
            <w:vAlign w:val="center"/>
          </w:tcPr>
          <w:p>
            <w:pPr>
              <w:spacing w:after="20"/>
            </w:pPr>
            <w:r/>
            <w:r>
              <w:rPr>
                <w:rFonts w:ascii="Aptos" w:hAnsi="Aptos"/>
                <w:b w:val="0"/>
                <w:sz w:val="16"/>
              </w:rPr>
              <w:t>/raw/sharepoint/site1/&lt;library-or-domain&gt;/&lt;arrival-date&gt;/</w:t>
            </w:r>
          </w:p>
        </w:tc>
      </w:tr>
      <w:tr>
        <w:tc>
          <w:tcPr>
            <w:tcW w:type="dxa" w:w="5141"/>
            <w:vAlign w:val="center"/>
          </w:tcPr>
          <w:p>
            <w:pPr>
              <w:spacing w:after="20"/>
            </w:pPr>
            <w:r/>
            <w:r>
              <w:rPr>
                <w:rFonts w:ascii="Aptos" w:hAnsi="Aptos"/>
                <w:b w:val="0"/>
                <w:sz w:val="16"/>
              </w:rPr>
              <w:t>Schema / contract</w:t>
            </w:r>
          </w:p>
        </w:tc>
        <w:tc>
          <w:tcPr>
            <w:tcW w:type="dxa" w:w="5141"/>
            <w:vAlign w:val="center"/>
          </w:tcPr>
          <w:p>
            <w:pPr>
              <w:spacing w:after="20"/>
            </w:pPr>
            <w:r/>
            <w:r>
              <w:rPr>
                <w:rFonts w:ascii="Aptos" w:hAnsi="Aptos"/>
                <w:b w:val="0"/>
                <w:sz w:val="16"/>
              </w:rPr>
              <w:t>One contract for each distinct file type or dataset in this site</w:t>
            </w:r>
          </w:p>
        </w:tc>
      </w:tr>
      <w:tr>
        <w:tc>
          <w:tcPr>
            <w:tcW w:type="dxa" w:w="5141"/>
            <w:vAlign w:val="center"/>
          </w:tcPr>
          <w:p>
            <w:pPr>
              <w:spacing w:after="20"/>
            </w:pPr>
            <w:r/>
            <w:r>
              <w:rPr>
                <w:rFonts w:ascii="Aptos" w:hAnsi="Aptos"/>
                <w:b w:val="0"/>
                <w:sz w:val="16"/>
              </w:rPr>
              <w:t>Arrival and missing-file policy</w:t>
            </w:r>
          </w:p>
        </w:tc>
        <w:tc>
          <w:tcPr>
            <w:tcW w:type="dxa" w:w="5141"/>
            <w:vAlign w:val="center"/>
          </w:tcPr>
          <w:p>
            <w:pPr>
              <w:spacing w:after="20"/>
            </w:pPr>
            <w:r/>
            <w:r>
              <w:rPr>
                <w:rFonts w:ascii="Aptos" w:hAnsi="Aptos"/>
                <w:b w:val="0"/>
                <w:sz w:val="16"/>
              </w:rPr>
              <w:t>TBD — schedule, required/optional file and late-file handling</w:t>
            </w:r>
          </w:p>
        </w:tc>
      </w:tr>
      <w:tr>
        <w:tc>
          <w:tcPr>
            <w:tcW w:type="dxa" w:w="5141"/>
            <w:vAlign w:val="center"/>
          </w:tcPr>
          <w:p>
            <w:pPr>
              <w:spacing w:after="20"/>
            </w:pPr>
            <w:r/>
            <w:r>
              <w:rPr>
                <w:rFonts w:ascii="Aptos" w:hAnsi="Aptos"/>
                <w:b w:val="0"/>
                <w:sz w:val="16"/>
              </w:rPr>
              <w:t>Target mapping</w:t>
            </w:r>
          </w:p>
        </w:tc>
        <w:tc>
          <w:tcPr>
            <w:tcW w:type="dxa" w:w="5141"/>
            <w:vAlign w:val="center"/>
          </w:tcPr>
          <w:p>
            <w:pPr>
              <w:spacing w:after="20"/>
            </w:pPr>
            <w:r/>
            <w:r>
              <w:rPr>
                <w:rFonts w:ascii="Aptos" w:hAnsi="Aptos"/>
                <w:b w:val="0"/>
                <w:sz w:val="16"/>
              </w:rPr>
              <w:t>TBD — map each file's columns to approved Databricks outputs and PostgreSQL targets</w:t>
            </w:r>
          </w:p>
        </w:tc>
      </w:tr>
    </w:tbl>
    <w:p/>
    <w:p>
      <w:pPr>
        <w:pStyle w:val="Heading2"/>
        <w:keepNext/>
      </w:pPr>
      <w:r>
        <w:t>5.3 SharePoint Site 2</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Configuration field</w:t>
            </w:r>
          </w:p>
        </w:tc>
        <w:tc>
          <w:tcPr>
            <w:tcW w:type="dxa" w:w="5141"/>
            <w:vAlign w:val="center"/>
            <w:shd w:fill="D9EAF7"/>
          </w:tcPr>
          <w:p>
            <w:pPr>
              <w:spacing w:after="20"/>
            </w:pPr>
            <w:r/>
            <w:r>
              <w:rPr>
                <w:rFonts w:ascii="Aptos" w:hAnsi="Aptos"/>
                <w:b/>
                <w:sz w:val="16"/>
              </w:rPr>
              <w:t>Value to populate from the project</w:t>
            </w:r>
          </w:p>
        </w:tc>
      </w:tr>
      <w:tr>
        <w:tc>
          <w:tcPr>
            <w:tcW w:type="dxa" w:w="5141"/>
            <w:vAlign w:val="center"/>
          </w:tcPr>
          <w:p>
            <w:pPr>
              <w:spacing w:after="20"/>
            </w:pPr>
            <w:r/>
            <w:r>
              <w:rPr>
                <w:rFonts w:ascii="Aptos" w:hAnsi="Aptos"/>
                <w:b w:val="0"/>
                <w:sz w:val="16"/>
              </w:rPr>
              <w:t>Source ID</w:t>
            </w:r>
          </w:p>
        </w:tc>
        <w:tc>
          <w:tcPr>
            <w:tcW w:type="dxa" w:w="5141"/>
            <w:vAlign w:val="center"/>
          </w:tcPr>
          <w:p>
            <w:pPr>
              <w:spacing w:after="20"/>
            </w:pPr>
            <w:r/>
            <w:r>
              <w:rPr>
                <w:rFonts w:ascii="Aptos" w:hAnsi="Aptos"/>
                <w:b w:val="0"/>
                <w:sz w:val="16"/>
              </w:rPr>
              <w:t>SP_SITE_2</w:t>
            </w:r>
          </w:p>
        </w:tc>
      </w:tr>
      <w:tr>
        <w:tc>
          <w:tcPr>
            <w:tcW w:type="dxa" w:w="5141"/>
            <w:vAlign w:val="center"/>
          </w:tcPr>
          <w:p>
            <w:pPr>
              <w:spacing w:after="20"/>
            </w:pPr>
            <w:r/>
            <w:r>
              <w:rPr>
                <w:rFonts w:ascii="Aptos" w:hAnsi="Aptos"/>
                <w:b w:val="0"/>
                <w:sz w:val="16"/>
              </w:rPr>
              <w:t>Site URL</w:t>
            </w:r>
          </w:p>
        </w:tc>
        <w:tc>
          <w:tcPr>
            <w:tcW w:type="dxa" w:w="5141"/>
            <w:vAlign w:val="center"/>
          </w:tcPr>
          <w:p>
            <w:pPr>
              <w:spacing w:after="20"/>
            </w:pPr>
            <w:r/>
            <w:r>
              <w:rPr>
                <w:rFonts w:ascii="Aptos" w:hAnsi="Aptos"/>
                <w:b w:val="0"/>
                <w:sz w:val="16"/>
              </w:rPr>
              <w:t>TBD — exact URL, distinct from Site 1</w:t>
            </w:r>
          </w:p>
        </w:tc>
      </w:tr>
      <w:tr>
        <w:tc>
          <w:tcPr>
            <w:tcW w:type="dxa" w:w="5141"/>
            <w:vAlign w:val="center"/>
          </w:tcPr>
          <w:p>
            <w:pPr>
              <w:spacing w:after="20"/>
            </w:pPr>
            <w:r/>
            <w:r>
              <w:rPr>
                <w:rFonts w:ascii="Aptos" w:hAnsi="Aptos"/>
                <w:b w:val="0"/>
                <w:sz w:val="16"/>
              </w:rPr>
              <w:t>Document library / folder</w:t>
            </w:r>
          </w:p>
        </w:tc>
        <w:tc>
          <w:tcPr>
            <w:tcW w:type="dxa" w:w="5141"/>
            <w:vAlign w:val="center"/>
          </w:tcPr>
          <w:p>
            <w:pPr>
              <w:spacing w:after="20"/>
            </w:pPr>
            <w:r/>
            <w:r>
              <w:rPr>
                <w:rFonts w:ascii="Aptos" w:hAnsi="Aptos"/>
                <w:b w:val="0"/>
                <w:sz w:val="16"/>
              </w:rPr>
              <w:t>TBD — exact library and folder path</w:t>
            </w:r>
          </w:p>
        </w:tc>
      </w:tr>
      <w:tr>
        <w:tc>
          <w:tcPr>
            <w:tcW w:type="dxa" w:w="5141"/>
            <w:vAlign w:val="center"/>
          </w:tcPr>
          <w:p>
            <w:pPr>
              <w:spacing w:after="20"/>
            </w:pPr>
            <w:r/>
            <w:r>
              <w:rPr>
                <w:rFonts w:ascii="Aptos" w:hAnsi="Aptos"/>
                <w:b w:val="0"/>
                <w:sz w:val="16"/>
              </w:rPr>
              <w:t>File patterns / extensions</w:t>
            </w:r>
          </w:p>
        </w:tc>
        <w:tc>
          <w:tcPr>
            <w:tcW w:type="dxa" w:w="5141"/>
            <w:vAlign w:val="center"/>
          </w:tcPr>
          <w:p>
            <w:pPr>
              <w:spacing w:after="20"/>
            </w:pPr>
            <w:r/>
            <w:r>
              <w:rPr>
                <w:rFonts w:ascii="Aptos" w:hAnsi="Aptos"/>
                <w:b w:val="0"/>
                <w:sz w:val="16"/>
              </w:rPr>
              <w:t>TBD — capture separately; do not inherit Site 1 assumptions</w:t>
            </w:r>
          </w:p>
        </w:tc>
      </w:tr>
      <w:tr>
        <w:tc>
          <w:tcPr>
            <w:tcW w:type="dxa" w:w="5141"/>
            <w:vAlign w:val="center"/>
          </w:tcPr>
          <w:p>
            <w:pPr>
              <w:spacing w:after="20"/>
            </w:pPr>
            <w:r/>
            <w:r>
              <w:rPr>
                <w:rFonts w:ascii="Aptos" w:hAnsi="Aptos"/>
                <w:b w:val="0"/>
                <w:sz w:val="16"/>
              </w:rPr>
              <w:t>Authentication / identity</w:t>
            </w:r>
          </w:p>
        </w:tc>
        <w:tc>
          <w:tcPr>
            <w:tcW w:type="dxa" w:w="5141"/>
            <w:vAlign w:val="center"/>
          </w:tcPr>
          <w:p>
            <w:pPr>
              <w:spacing w:after="20"/>
            </w:pPr>
            <w:r/>
            <w:r>
              <w:rPr>
                <w:rFonts w:ascii="Aptos" w:hAnsi="Aptos"/>
                <w:b w:val="0"/>
                <w:sz w:val="16"/>
              </w:rPr>
              <w:t>Confirm access to Site 2 explicitly; do not assume Site 1 permissions grant access</w:t>
            </w:r>
          </w:p>
        </w:tc>
      </w:tr>
      <w:tr>
        <w:tc>
          <w:tcPr>
            <w:tcW w:type="dxa" w:w="5141"/>
            <w:vAlign w:val="center"/>
          </w:tcPr>
          <w:p>
            <w:pPr>
              <w:spacing w:after="20"/>
            </w:pPr>
            <w:r/>
            <w:r>
              <w:rPr>
                <w:rFonts w:ascii="Aptos" w:hAnsi="Aptos"/>
                <w:b w:val="0"/>
                <w:sz w:val="16"/>
              </w:rPr>
              <w:t>Secrets</w:t>
            </w:r>
          </w:p>
        </w:tc>
        <w:tc>
          <w:tcPr>
            <w:tcW w:type="dxa" w:w="5141"/>
            <w:vAlign w:val="center"/>
          </w:tcPr>
          <w:p>
            <w:pPr>
              <w:spacing w:after="20"/>
            </w:pPr>
            <w:r/>
            <w:r>
              <w:rPr>
                <w:rFonts w:ascii="Aptos" w:hAnsi="Aptos"/>
                <w:b w:val="0"/>
                <w:sz w:val="16"/>
              </w:rPr>
              <w:t>Stored in Key Vault; use approved identity and least privilege</w:t>
            </w:r>
          </w:p>
        </w:tc>
      </w:tr>
      <w:tr>
        <w:tc>
          <w:tcPr>
            <w:tcW w:type="dxa" w:w="5141"/>
            <w:vAlign w:val="center"/>
          </w:tcPr>
          <w:p>
            <w:pPr>
              <w:spacing w:after="20"/>
            </w:pPr>
            <w:r/>
            <w:r>
              <w:rPr>
                <w:rFonts w:ascii="Aptos" w:hAnsi="Aptos"/>
                <w:b w:val="0"/>
                <w:sz w:val="16"/>
              </w:rPr>
              <w:t>Landing path</w:t>
            </w:r>
          </w:p>
        </w:tc>
        <w:tc>
          <w:tcPr>
            <w:tcW w:type="dxa" w:w="5141"/>
            <w:vAlign w:val="center"/>
          </w:tcPr>
          <w:p>
            <w:pPr>
              <w:spacing w:after="20"/>
            </w:pPr>
            <w:r/>
            <w:r>
              <w:rPr>
                <w:rFonts w:ascii="Aptos" w:hAnsi="Aptos"/>
                <w:b w:val="0"/>
                <w:sz w:val="16"/>
              </w:rPr>
              <w:t>/raw/sharepoint/site2/&lt;library-or-domain&gt;/&lt;arrival-date&gt;/</w:t>
            </w:r>
          </w:p>
        </w:tc>
      </w:tr>
      <w:tr>
        <w:tc>
          <w:tcPr>
            <w:tcW w:type="dxa" w:w="5141"/>
            <w:vAlign w:val="center"/>
          </w:tcPr>
          <w:p>
            <w:pPr>
              <w:spacing w:after="20"/>
            </w:pPr>
            <w:r/>
            <w:r>
              <w:rPr>
                <w:rFonts w:ascii="Aptos" w:hAnsi="Aptos"/>
                <w:b w:val="0"/>
                <w:sz w:val="16"/>
              </w:rPr>
              <w:t>Schema / contract</w:t>
            </w:r>
          </w:p>
        </w:tc>
        <w:tc>
          <w:tcPr>
            <w:tcW w:type="dxa" w:w="5141"/>
            <w:vAlign w:val="center"/>
          </w:tcPr>
          <w:p>
            <w:pPr>
              <w:spacing w:after="20"/>
            </w:pPr>
            <w:r/>
            <w:r>
              <w:rPr>
                <w:rFonts w:ascii="Aptos" w:hAnsi="Aptos"/>
                <w:b w:val="0"/>
                <w:sz w:val="16"/>
              </w:rPr>
              <w:t>One contract for each distinct file type or dataset in this site</w:t>
            </w:r>
          </w:p>
        </w:tc>
      </w:tr>
      <w:tr>
        <w:tc>
          <w:tcPr>
            <w:tcW w:type="dxa" w:w="5141"/>
            <w:vAlign w:val="center"/>
          </w:tcPr>
          <w:p>
            <w:pPr>
              <w:spacing w:after="20"/>
            </w:pPr>
            <w:r/>
            <w:r>
              <w:rPr>
                <w:rFonts w:ascii="Aptos" w:hAnsi="Aptos"/>
                <w:b w:val="0"/>
                <w:sz w:val="16"/>
              </w:rPr>
              <w:t>Arrival and missing-file policy</w:t>
            </w:r>
          </w:p>
        </w:tc>
        <w:tc>
          <w:tcPr>
            <w:tcW w:type="dxa" w:w="5141"/>
            <w:vAlign w:val="center"/>
          </w:tcPr>
          <w:p>
            <w:pPr>
              <w:spacing w:after="20"/>
            </w:pPr>
            <w:r/>
            <w:r>
              <w:rPr>
                <w:rFonts w:ascii="Aptos" w:hAnsi="Aptos"/>
                <w:b w:val="0"/>
                <w:sz w:val="16"/>
              </w:rPr>
              <w:t>TBD — independently document required/optional files and late-file handling</w:t>
            </w:r>
          </w:p>
        </w:tc>
      </w:tr>
      <w:tr>
        <w:tc>
          <w:tcPr>
            <w:tcW w:type="dxa" w:w="5141"/>
            <w:vAlign w:val="center"/>
          </w:tcPr>
          <w:p>
            <w:pPr>
              <w:spacing w:after="20"/>
            </w:pPr>
            <w:r/>
            <w:r>
              <w:rPr>
                <w:rFonts w:ascii="Aptos" w:hAnsi="Aptos"/>
                <w:b w:val="0"/>
                <w:sz w:val="16"/>
              </w:rPr>
              <w:t>Target mapping</w:t>
            </w:r>
          </w:p>
        </w:tc>
        <w:tc>
          <w:tcPr>
            <w:tcW w:type="dxa" w:w="5141"/>
            <w:vAlign w:val="center"/>
          </w:tcPr>
          <w:p>
            <w:pPr>
              <w:spacing w:after="20"/>
            </w:pPr>
            <w:r/>
            <w:r>
              <w:rPr>
                <w:rFonts w:ascii="Aptos" w:hAnsi="Aptos"/>
                <w:b w:val="0"/>
                <w:sz w:val="16"/>
              </w:rPr>
              <w:t>TBD — map each file's columns to approved Databricks outputs and PostgreSQL targets</w:t>
            </w:r>
          </w:p>
        </w:tc>
      </w:tr>
    </w:tbl>
    <w:p/>
    <w:p>
      <w:r>
        <w:t>For both SharePoint sites, capture file name, site ID/source ID, library, folder, file size, modified time, arrival/ingestion time, content hash if available, run_id and processing status. The file hash plus source identity is safer for duplicate detection than file name alone.</w:t>
      </w:r>
    </w:p>
    <w:p>
      <w:pPr>
        <w:pStyle w:val="Heading1"/>
        <w:keepNext/>
      </w:pPr>
      <w:r>
        <w:t>6. ADLS landing, archive and replay</w:t>
      </w:r>
    </w:p>
    <w:p>
      <w:r>
        <w:t>ADLS is a supporting service in this design. It is used to land SharePoint files before Databricks processing, retain originals for audit/replay where permitted, and hold intermediate files only where there is a clear operational reason.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Path pattern (proposed)</w:t>
            </w:r>
          </w:p>
        </w:tc>
        <w:tc>
          <w:tcPr>
            <w:tcW w:type="dxa" w:w="5141"/>
            <w:vAlign w:val="center"/>
            <w:shd w:fill="D9EAF7"/>
          </w:tcPr>
          <w:p>
            <w:pPr>
              <w:spacing w:after="20"/>
            </w:pPr>
            <w:r/>
            <w:r>
              <w:rPr>
                <w:rFonts w:ascii="Aptos" w:hAnsi="Aptos"/>
                <w:b/>
                <w:sz w:val="16"/>
              </w:rPr>
              <w:t>Purpose</w:t>
            </w:r>
          </w:p>
        </w:tc>
      </w:tr>
      <w:tr>
        <w:tc>
          <w:tcPr>
            <w:tcW w:type="dxa" w:w="5141"/>
            <w:vAlign w:val="center"/>
          </w:tcPr>
          <w:p>
            <w:pPr>
              <w:spacing w:after="20"/>
            </w:pPr>
            <w:r/>
            <w:r>
              <w:rPr>
                <w:rFonts w:ascii="Aptos" w:hAnsi="Aptos"/>
                <w:b w:val="0"/>
                <w:sz w:val="16"/>
              </w:rPr>
              <w:t>/raw/sharepoint/site1/&lt;source-folder&gt;/&lt;yyyy&gt;/&lt;mm&gt;/&lt;dd&gt;/</w:t>
            </w:r>
          </w:p>
        </w:tc>
        <w:tc>
          <w:tcPr>
            <w:tcW w:type="dxa" w:w="5141"/>
            <w:vAlign w:val="center"/>
          </w:tcPr>
          <w:p>
            <w:pPr>
              <w:spacing w:after="20"/>
            </w:pPr>
            <w:r/>
            <w:r>
              <w:rPr>
                <w:rFonts w:ascii="Aptos" w:hAnsi="Aptos"/>
                <w:b w:val="0"/>
                <w:sz w:val="16"/>
              </w:rPr>
              <w:t>Original files from SharePoint Site 1.</w:t>
            </w:r>
          </w:p>
        </w:tc>
      </w:tr>
      <w:tr>
        <w:tc>
          <w:tcPr>
            <w:tcW w:type="dxa" w:w="5141"/>
            <w:vAlign w:val="center"/>
          </w:tcPr>
          <w:p>
            <w:pPr>
              <w:spacing w:after="20"/>
            </w:pPr>
            <w:r/>
            <w:r>
              <w:rPr>
                <w:rFonts w:ascii="Aptos" w:hAnsi="Aptos"/>
                <w:b w:val="0"/>
                <w:sz w:val="16"/>
              </w:rPr>
              <w:t>/raw/sharepoint/site2/&lt;source-folder&gt;/&lt;yyyy&gt;/&lt;mm&gt;/&lt;dd&gt;/</w:t>
            </w:r>
          </w:p>
        </w:tc>
        <w:tc>
          <w:tcPr>
            <w:tcW w:type="dxa" w:w="5141"/>
            <w:vAlign w:val="center"/>
          </w:tcPr>
          <w:p>
            <w:pPr>
              <w:spacing w:after="20"/>
            </w:pPr>
            <w:r/>
            <w:r>
              <w:rPr>
                <w:rFonts w:ascii="Aptos" w:hAnsi="Aptos"/>
                <w:b w:val="0"/>
                <w:sz w:val="16"/>
              </w:rPr>
              <w:t>Original files from SharePoint Site 2.</w:t>
            </w:r>
          </w:p>
        </w:tc>
      </w:tr>
      <w:tr>
        <w:tc>
          <w:tcPr>
            <w:tcW w:type="dxa" w:w="5141"/>
            <w:vAlign w:val="center"/>
          </w:tcPr>
          <w:p>
            <w:pPr>
              <w:spacing w:after="20"/>
            </w:pPr>
            <w:r/>
            <w:r>
              <w:rPr>
                <w:rFonts w:ascii="Aptos" w:hAnsi="Aptos"/>
                <w:b w:val="0"/>
                <w:sz w:val="16"/>
              </w:rPr>
              <w:t>/archive/sharepoint/site1/&lt;source-folder&gt;/&lt;yyyy&gt;/&lt;mm&gt;/&lt;dd&gt;/</w:t>
            </w:r>
          </w:p>
        </w:tc>
        <w:tc>
          <w:tcPr>
            <w:tcW w:type="dxa" w:w="5141"/>
            <w:vAlign w:val="center"/>
          </w:tcPr>
          <w:p>
            <w:pPr>
              <w:spacing w:after="20"/>
            </w:pPr>
            <w:r/>
            <w:r>
              <w:rPr>
                <w:rFonts w:ascii="Aptos" w:hAnsi="Aptos"/>
                <w:b w:val="0"/>
                <w:sz w:val="16"/>
              </w:rPr>
              <w:t>Longer-term archive if required by retention policy; may be implemented as lifecycle policy rather than a separate copy.</w:t>
            </w:r>
          </w:p>
        </w:tc>
      </w:tr>
      <w:tr>
        <w:tc>
          <w:tcPr>
            <w:tcW w:type="dxa" w:w="5141"/>
            <w:vAlign w:val="center"/>
          </w:tcPr>
          <w:p>
            <w:pPr>
              <w:spacing w:after="20"/>
            </w:pPr>
            <w:r/>
            <w:r>
              <w:rPr>
                <w:rFonts w:ascii="Aptos" w:hAnsi="Aptos"/>
                <w:b w:val="0"/>
                <w:sz w:val="16"/>
              </w:rPr>
              <w:t>/archive/sharepoint/site2/&lt;source-folder&gt;/&lt;yyyy&gt;/&lt;mm&gt;/&lt;dd&gt;/</w:t>
            </w:r>
          </w:p>
        </w:tc>
        <w:tc>
          <w:tcPr>
            <w:tcW w:type="dxa" w:w="5141"/>
            <w:vAlign w:val="center"/>
          </w:tcPr>
          <w:p>
            <w:pPr>
              <w:spacing w:after="20"/>
            </w:pPr>
            <w:r/>
            <w:r>
              <w:rPr>
                <w:rFonts w:ascii="Aptos" w:hAnsi="Aptos"/>
                <w:b w:val="0"/>
                <w:sz w:val="16"/>
              </w:rPr>
              <w:t>Longer-term archive if required by retention policy.</w:t>
            </w:r>
          </w:p>
        </w:tc>
      </w:tr>
      <w:tr>
        <w:tc>
          <w:tcPr>
            <w:tcW w:type="dxa" w:w="5141"/>
            <w:vAlign w:val="center"/>
          </w:tcPr>
          <w:p>
            <w:pPr>
              <w:spacing w:after="20"/>
            </w:pPr>
            <w:r/>
            <w:r>
              <w:rPr>
                <w:rFonts w:ascii="Aptos" w:hAnsi="Aptos"/>
                <w:b w:val="0"/>
                <w:sz w:val="16"/>
              </w:rPr>
              <w:t>/quarantine/&lt;source-id&gt;/&lt;run-id&gt;/</w:t>
            </w:r>
          </w:p>
        </w:tc>
        <w:tc>
          <w:tcPr>
            <w:tcW w:type="dxa" w:w="5141"/>
            <w:vAlign w:val="center"/>
          </w:tcPr>
          <w:p>
            <w:pPr>
              <w:spacing w:after="20"/>
            </w:pPr>
            <w:r/>
            <w:r>
              <w:rPr>
                <w:rFonts w:ascii="Aptos" w:hAnsi="Aptos"/>
                <w:b w:val="0"/>
                <w:sz w:val="16"/>
              </w:rPr>
              <w:t>Optional restricted location for files that cannot be parsed safely.</w:t>
            </w:r>
          </w:p>
        </w:tc>
      </w:tr>
    </w:tbl>
    <w:p/>
    <w:p>
      <w:pPr>
        <w:pStyle w:val="ListBullet"/>
        <w:spacing w:after="40"/>
      </w:pPr>
      <w:r>
        <w:t>Keep source files unchanged where possible. Record a hash or stable file identifier to support duplicate detection.</w:t>
      </w:r>
    </w:p>
    <w:p>
      <w:pPr>
        <w:pStyle w:val="ListBullet"/>
        <w:spacing w:after="40"/>
      </w:pPr>
      <w:r>
        <w:t>Do not treat the ADLS folder path as the only audit record; also log file-level processing status in a control table.</w:t>
      </w:r>
    </w:p>
    <w:p>
      <w:pPr>
        <w:pStyle w:val="ListBullet"/>
        <w:spacing w:after="40"/>
      </w:pPr>
      <w:r>
        <w:t>Define retention, access control, encryption and deletion rules with the platform/security owner.</w:t>
      </w:r>
    </w:p>
    <w:p>
      <w:pPr>
        <w:pStyle w:val="ListBullet"/>
        <w:spacing w:after="40"/>
      </w:pPr>
      <w:r>
        <w:t>Reprocessing must be possible for an identified file/date range without duplicating PostgreSQL records.</w:t>
      </w:r>
    </w:p>
    <w:p>
      <w:pPr>
        <w:pStyle w:val="Heading1"/>
        <w:keepNext/>
      </w:pPr>
      <w:r>
        <w:t>7. Azure Key Vault and access design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Connection / identity</w:t>
            </w:r>
          </w:p>
        </w:tc>
        <w:tc>
          <w:tcPr>
            <w:tcW w:type="dxa" w:w="5141"/>
            <w:vAlign w:val="center"/>
            <w:shd w:fill="D9EAF7"/>
          </w:tcPr>
          <w:p>
            <w:pPr>
              <w:spacing w:after="20"/>
            </w:pPr>
            <w:r/>
            <w:r>
              <w:rPr>
                <w:rFonts w:ascii="Aptos" w:hAnsi="Aptos"/>
                <w:b/>
                <w:sz w:val="16"/>
              </w:rPr>
              <w:t>Design rule</w:t>
            </w:r>
          </w:p>
        </w:tc>
      </w:tr>
      <w:tr>
        <w:tc>
          <w:tcPr>
            <w:tcW w:type="dxa" w:w="5141"/>
            <w:vAlign w:val="center"/>
          </w:tcPr>
          <w:p>
            <w:pPr>
              <w:spacing w:after="20"/>
            </w:pPr>
            <w:r/>
            <w:r>
              <w:rPr>
                <w:rFonts w:ascii="Aptos" w:hAnsi="Aptos"/>
                <w:b w:val="0"/>
                <w:sz w:val="16"/>
              </w:rPr>
              <w:t>ADF to SharePoint</w:t>
            </w:r>
          </w:p>
        </w:tc>
        <w:tc>
          <w:tcPr>
            <w:tcW w:type="dxa" w:w="5141"/>
            <w:vAlign w:val="center"/>
          </w:tcPr>
          <w:p>
            <w:pPr>
              <w:spacing w:after="20"/>
            </w:pPr>
            <w:r/>
            <w:r>
              <w:rPr>
                <w:rFonts w:ascii="Aptos" w:hAnsi="Aptos"/>
                <w:b w:val="0"/>
                <w:sz w:val="16"/>
              </w:rPr>
              <w:t>Use the connector and authentication method approved by the tenant. Confirm required site-level permissions separately for both sites.</w:t>
            </w:r>
          </w:p>
        </w:tc>
      </w:tr>
      <w:tr>
        <w:tc>
          <w:tcPr>
            <w:tcW w:type="dxa" w:w="5141"/>
            <w:vAlign w:val="center"/>
          </w:tcPr>
          <w:p>
            <w:pPr>
              <w:spacing w:after="20"/>
            </w:pPr>
            <w:r/>
            <w:r>
              <w:rPr>
                <w:rFonts w:ascii="Aptos" w:hAnsi="Aptos"/>
                <w:b w:val="0"/>
                <w:sz w:val="16"/>
              </w:rPr>
              <w:t>ADF to Databricks</w:t>
            </w:r>
          </w:p>
        </w:tc>
        <w:tc>
          <w:tcPr>
            <w:tcW w:type="dxa" w:w="5141"/>
            <w:vAlign w:val="center"/>
          </w:tcPr>
          <w:p>
            <w:pPr>
              <w:spacing w:after="20"/>
            </w:pPr>
            <w:r/>
            <w:r>
              <w:rPr>
                <w:rFonts w:ascii="Aptos" w:hAnsi="Aptos"/>
                <w:b w:val="0"/>
                <w:sz w:val="16"/>
              </w:rPr>
              <w:t>Use the approved linked service and workspace permissions. Pass only non-secret run parameters.</w:t>
            </w:r>
          </w:p>
        </w:tc>
      </w:tr>
      <w:tr>
        <w:tc>
          <w:tcPr>
            <w:tcW w:type="dxa" w:w="5141"/>
            <w:vAlign w:val="center"/>
          </w:tcPr>
          <w:p>
            <w:pPr>
              <w:spacing w:after="20"/>
            </w:pPr>
            <w:r/>
            <w:r>
              <w:rPr>
                <w:rFonts w:ascii="Aptos" w:hAnsi="Aptos"/>
                <w:b w:val="0"/>
                <w:sz w:val="16"/>
              </w:rPr>
              <w:t>Databricks to ADLS</w:t>
            </w:r>
          </w:p>
        </w:tc>
        <w:tc>
          <w:tcPr>
            <w:tcW w:type="dxa" w:w="5141"/>
            <w:vAlign w:val="center"/>
          </w:tcPr>
          <w:p>
            <w:pPr>
              <w:spacing w:after="20"/>
            </w:pPr>
            <w:r/>
            <w:r>
              <w:rPr>
                <w:rFonts w:ascii="Aptos" w:hAnsi="Aptos"/>
                <w:b w:val="0"/>
                <w:sz w:val="16"/>
              </w:rPr>
              <w:t>Use an approved managed identity/service principal and least-privilege storage permissions.</w:t>
            </w:r>
          </w:p>
        </w:tc>
      </w:tr>
      <w:tr>
        <w:tc>
          <w:tcPr>
            <w:tcW w:type="dxa" w:w="5141"/>
            <w:vAlign w:val="center"/>
          </w:tcPr>
          <w:p>
            <w:pPr>
              <w:spacing w:after="20"/>
            </w:pPr>
            <w:r/>
            <w:r>
              <w:rPr>
                <w:rFonts w:ascii="Aptos" w:hAnsi="Aptos"/>
                <w:b w:val="0"/>
                <w:sz w:val="16"/>
              </w:rPr>
              <w:t>Databricks to PostgreSQL</w:t>
            </w:r>
          </w:p>
        </w:tc>
        <w:tc>
          <w:tcPr>
            <w:tcW w:type="dxa" w:w="5141"/>
            <w:vAlign w:val="center"/>
          </w:tcPr>
          <w:p>
            <w:pPr>
              <w:spacing w:after="20"/>
            </w:pPr>
            <w:r/>
            <w:r>
              <w:rPr>
                <w:rFonts w:ascii="Aptos" w:hAnsi="Aptos"/>
                <w:b w:val="0"/>
                <w:sz w:val="16"/>
              </w:rPr>
              <w:t>Use an approved secure network path and retrieve credentials from Key Vault or an approved secret integration.</w:t>
            </w:r>
          </w:p>
        </w:tc>
      </w:tr>
      <w:tr>
        <w:tc>
          <w:tcPr>
            <w:tcW w:type="dxa" w:w="5141"/>
            <w:vAlign w:val="center"/>
          </w:tcPr>
          <w:p>
            <w:pPr>
              <w:spacing w:after="20"/>
            </w:pPr>
            <w:r/>
            <w:r>
              <w:rPr>
                <w:rFonts w:ascii="Aptos" w:hAnsi="Aptos"/>
                <w:b w:val="0"/>
                <w:sz w:val="16"/>
              </w:rPr>
              <w:t>Key Vault access</w:t>
            </w:r>
          </w:p>
        </w:tc>
        <w:tc>
          <w:tcPr>
            <w:tcW w:type="dxa" w:w="5141"/>
            <w:vAlign w:val="center"/>
          </w:tcPr>
          <w:p>
            <w:pPr>
              <w:spacing w:after="20"/>
            </w:pPr>
            <w:r/>
            <w:r>
              <w:rPr>
                <w:rFonts w:ascii="Aptos" w:hAnsi="Aptos"/>
                <w:b w:val="0"/>
                <w:sz w:val="16"/>
              </w:rPr>
              <w:t>Grant secret-read access only to the identities that need it; log and review access according to security policy.</w:t>
            </w:r>
          </w:p>
        </w:tc>
      </w:tr>
      <w:tr>
        <w:tc>
          <w:tcPr>
            <w:tcW w:type="dxa" w:w="5141"/>
            <w:vAlign w:val="center"/>
          </w:tcPr>
          <w:p>
            <w:pPr>
              <w:spacing w:after="20"/>
            </w:pPr>
            <w:r/>
            <w:r>
              <w:rPr>
                <w:rFonts w:ascii="Aptos" w:hAnsi="Aptos"/>
                <w:b w:val="0"/>
                <w:sz w:val="16"/>
              </w:rPr>
              <w:t>Code and logs</w:t>
            </w:r>
          </w:p>
        </w:tc>
        <w:tc>
          <w:tcPr>
            <w:tcW w:type="dxa" w:w="5141"/>
            <w:vAlign w:val="center"/>
          </w:tcPr>
          <w:p>
            <w:pPr>
              <w:spacing w:after="20"/>
            </w:pPr>
            <w:r/>
            <w:r>
              <w:rPr>
                <w:rFonts w:ascii="Aptos" w:hAnsi="Aptos"/>
                <w:b w:val="0"/>
                <w:sz w:val="16"/>
              </w:rPr>
              <w:t>Never hard-code passwords, client secrets, access tokens or connection strings containing credentials. Avoid printing secrets in logs.</w:t>
            </w:r>
          </w:p>
        </w:tc>
      </w:tr>
    </w:tbl>
    <w:p/>
    <w:p>
      <w:r>
        <w:t>The exact authentication mechanism depends on the organisation's Microsoft 365 and Azure configuration. Confirm connector support, tenant consent, network access and required permissions during implementation rather than assuming that a user password or legacy SharePoint authentication flow will work.</w:t>
      </w:r>
    </w:p>
    <w:p>
      <w:pPr>
        <w:pStyle w:val="Heading1"/>
        <w:keepNext/>
      </w:pPr>
      <w:r>
        <w:t>8. Databricks transformation and KPI design</w:t>
      </w:r>
    </w:p>
    <w:p>
      <w:r>
        <w:t>All business transformation and KPI calculations are performed in Databricks. The already-created KPI list remains the authoritative business definition. For each KPI, link the existing KPI ID/name to its source objects, input columns, transformation logic, output grain, target column and validation test.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Processing stage</w:t>
            </w:r>
          </w:p>
        </w:tc>
        <w:tc>
          <w:tcPr>
            <w:tcW w:type="dxa" w:w="5141"/>
            <w:vAlign w:val="center"/>
            <w:shd w:fill="D9EAF7"/>
          </w:tcPr>
          <w:p>
            <w:pPr>
              <w:spacing w:after="20"/>
            </w:pPr>
            <w:r/>
            <w:r>
              <w:rPr>
                <w:rFonts w:ascii="Aptos" w:hAnsi="Aptos"/>
                <w:b/>
                <w:sz w:val="16"/>
              </w:rPr>
              <w:t>Design detail</w:t>
            </w:r>
          </w:p>
        </w:tc>
      </w:tr>
      <w:tr>
        <w:tc>
          <w:tcPr>
            <w:tcW w:type="dxa" w:w="5141"/>
            <w:vAlign w:val="center"/>
          </w:tcPr>
          <w:p>
            <w:pPr>
              <w:spacing w:after="20"/>
            </w:pPr>
            <w:r/>
            <w:r>
              <w:rPr>
                <w:rFonts w:ascii="Aptos" w:hAnsi="Aptos"/>
                <w:b w:val="0"/>
                <w:sz w:val="16"/>
              </w:rPr>
              <w:t>Bronze / raw ingestion</w:t>
            </w:r>
          </w:p>
        </w:tc>
        <w:tc>
          <w:tcPr>
            <w:tcW w:type="dxa" w:w="5141"/>
            <w:vAlign w:val="center"/>
          </w:tcPr>
          <w:p>
            <w:pPr>
              <w:spacing w:after="20"/>
            </w:pPr>
            <w:r/>
            <w:r>
              <w:rPr>
                <w:rFonts w:ascii="Aptos" w:hAnsi="Aptos"/>
                <w:b w:val="0"/>
                <w:sz w:val="16"/>
              </w:rPr>
              <w:t>For SharePoint files, preserve raw values and add audit metadata such as _run_id, _source_id, _source_file, _ingested_at and schema version. For existing Databricks objects, record the read source and snapshot/run context as required.</w:t>
            </w:r>
          </w:p>
        </w:tc>
      </w:tr>
      <w:tr>
        <w:tc>
          <w:tcPr>
            <w:tcW w:type="dxa" w:w="5141"/>
            <w:vAlign w:val="center"/>
          </w:tcPr>
          <w:p>
            <w:pPr>
              <w:spacing w:after="20"/>
            </w:pPr>
            <w:r/>
            <w:r>
              <w:rPr>
                <w:rFonts w:ascii="Aptos" w:hAnsi="Aptos"/>
                <w:b w:val="0"/>
                <w:sz w:val="16"/>
              </w:rPr>
              <w:t>Silver / conformed</w:t>
            </w:r>
          </w:p>
        </w:tc>
        <w:tc>
          <w:tcPr>
            <w:tcW w:type="dxa" w:w="5141"/>
            <w:vAlign w:val="center"/>
          </w:tcPr>
          <w:p>
            <w:pPr>
              <w:spacing w:after="20"/>
            </w:pPr>
            <w:r/>
            <w:r>
              <w:rPr>
                <w:rFonts w:ascii="Aptos" w:hAnsi="Aptos"/>
                <w:b w:val="0"/>
                <w:sz w:val="16"/>
              </w:rPr>
              <w:t>Explicit type casting; null/blank handling; standardisation; deduplication; filtering; reference joins; invalid-record capture. Each rule must be linked to a source/file or dataset.</w:t>
            </w:r>
          </w:p>
        </w:tc>
      </w:tr>
      <w:tr>
        <w:tc>
          <w:tcPr>
            <w:tcW w:type="dxa" w:w="5141"/>
            <w:vAlign w:val="center"/>
          </w:tcPr>
          <w:p>
            <w:pPr>
              <w:spacing w:after="20"/>
            </w:pPr>
            <w:r/>
            <w:r>
              <w:rPr>
                <w:rFonts w:ascii="Aptos" w:hAnsi="Aptos"/>
                <w:b w:val="0"/>
                <w:sz w:val="16"/>
              </w:rPr>
              <w:t>Gold / KPI output</w:t>
            </w:r>
          </w:p>
        </w:tc>
        <w:tc>
          <w:tcPr>
            <w:tcW w:type="dxa" w:w="5141"/>
            <w:vAlign w:val="center"/>
          </w:tcPr>
          <w:p>
            <w:pPr>
              <w:spacing w:after="20"/>
            </w:pPr>
            <w:r/>
            <w:r>
              <w:rPr>
                <w:rFonts w:ascii="Aptos" w:hAnsi="Aptos"/>
                <w:b w:val="0"/>
                <w:sz w:val="16"/>
              </w:rPr>
              <w:t>Implement the existing KPI formulas in version-controlled Databricks SQL/PySpark. Build output at the grain defined in the KPI list and agreed data model.</w:t>
            </w:r>
          </w:p>
        </w:tc>
      </w:tr>
      <w:tr>
        <w:tc>
          <w:tcPr>
            <w:tcW w:type="dxa" w:w="5141"/>
            <w:vAlign w:val="center"/>
          </w:tcPr>
          <w:p>
            <w:pPr>
              <w:spacing w:after="20"/>
            </w:pPr>
            <w:r/>
            <w:r>
              <w:rPr>
                <w:rFonts w:ascii="Aptos" w:hAnsi="Aptos"/>
                <w:b w:val="0"/>
                <w:sz w:val="16"/>
              </w:rPr>
              <w:t>Target-ready output</w:t>
            </w:r>
          </w:p>
        </w:tc>
        <w:tc>
          <w:tcPr>
            <w:tcW w:type="dxa" w:w="5141"/>
            <w:vAlign w:val="center"/>
          </w:tcPr>
          <w:p>
            <w:pPr>
              <w:spacing w:after="20"/>
            </w:pPr>
            <w:r/>
            <w:r>
              <w:rPr>
                <w:rFonts w:ascii="Aptos" w:hAnsi="Aptos"/>
                <w:b w:val="0"/>
                <w:sz w:val="16"/>
              </w:rPr>
              <w:t>Select/rename target columns, cast to PostgreSQL-compatible types, enforce required fields and prepare a stable business key.</w:t>
            </w:r>
          </w:p>
        </w:tc>
      </w:tr>
      <w:tr>
        <w:tc>
          <w:tcPr>
            <w:tcW w:type="dxa" w:w="5141"/>
            <w:vAlign w:val="center"/>
          </w:tcPr>
          <w:p>
            <w:pPr>
              <w:spacing w:after="20"/>
            </w:pPr>
            <w:r/>
            <w:r>
              <w:rPr>
                <w:rFonts w:ascii="Aptos" w:hAnsi="Aptos"/>
                <w:b w:val="0"/>
                <w:sz w:val="16"/>
              </w:rPr>
              <w:t>Validation</w:t>
            </w:r>
          </w:p>
        </w:tc>
        <w:tc>
          <w:tcPr>
            <w:tcW w:type="dxa" w:w="5141"/>
            <w:vAlign w:val="center"/>
          </w:tcPr>
          <w:p>
            <w:pPr>
              <w:spacing w:after="20"/>
            </w:pPr>
            <w:r/>
            <w:r>
              <w:rPr>
                <w:rFonts w:ascii="Aptos" w:hAnsi="Aptos"/>
                <w:b w:val="0"/>
                <w:sz w:val="16"/>
              </w:rPr>
              <w:t>Run schema, null, uniqueness, domain/range, referential, business-rule and KPI-level checks before target delivery.</w:t>
            </w:r>
          </w:p>
        </w:tc>
      </w:tr>
    </w:tbl>
    <w:p/>
    <w:p>
      <w:pPr>
        <w:pStyle w:val="Heading2"/>
        <w:keepNext/>
      </w:pPr>
      <w:r>
        <w:t>8.1 KPI implementation register</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Field</w:t>
            </w:r>
          </w:p>
        </w:tc>
        <w:tc>
          <w:tcPr>
            <w:tcW w:type="dxa" w:w="5141"/>
            <w:vAlign w:val="center"/>
            <w:shd w:fill="D9EAF7"/>
          </w:tcPr>
          <w:p>
            <w:pPr>
              <w:spacing w:after="20"/>
            </w:pPr>
            <w:r/>
            <w:r>
              <w:rPr>
                <w:rFonts w:ascii="Aptos" w:hAnsi="Aptos"/>
                <w:b/>
                <w:sz w:val="16"/>
              </w:rPr>
              <w:t>Required value from existing KPI list</w:t>
            </w:r>
          </w:p>
        </w:tc>
      </w:tr>
      <w:tr>
        <w:tc>
          <w:tcPr>
            <w:tcW w:type="dxa" w:w="5141"/>
            <w:vAlign w:val="center"/>
          </w:tcPr>
          <w:p>
            <w:pPr>
              <w:spacing w:after="20"/>
            </w:pPr>
            <w:r/>
            <w:r>
              <w:rPr>
                <w:rFonts w:ascii="Aptos" w:hAnsi="Aptos"/>
                <w:b w:val="0"/>
                <w:sz w:val="16"/>
              </w:rPr>
              <w:t>KPI ID and name</w:t>
            </w:r>
          </w:p>
        </w:tc>
        <w:tc>
          <w:tcPr>
            <w:tcW w:type="dxa" w:w="5141"/>
            <w:vAlign w:val="center"/>
          </w:tcPr>
          <w:p>
            <w:pPr>
              <w:spacing w:after="20"/>
            </w:pPr>
            <w:r/>
            <w:r>
              <w:rPr>
                <w:rFonts w:ascii="Aptos" w:hAnsi="Aptos"/>
                <w:b w:val="0"/>
                <w:sz w:val="16"/>
              </w:rPr>
              <w:t>Copy exact approved identifier and name.</w:t>
            </w:r>
          </w:p>
        </w:tc>
      </w:tr>
      <w:tr>
        <w:tc>
          <w:tcPr>
            <w:tcW w:type="dxa" w:w="5141"/>
            <w:vAlign w:val="center"/>
          </w:tcPr>
          <w:p>
            <w:pPr>
              <w:spacing w:after="20"/>
            </w:pPr>
            <w:r/>
            <w:r>
              <w:rPr>
                <w:rFonts w:ascii="Aptos" w:hAnsi="Aptos"/>
                <w:b w:val="0"/>
                <w:sz w:val="16"/>
              </w:rPr>
              <w:t>Business definition / formula</w:t>
            </w:r>
          </w:p>
        </w:tc>
        <w:tc>
          <w:tcPr>
            <w:tcW w:type="dxa" w:w="5141"/>
            <w:vAlign w:val="center"/>
          </w:tcPr>
          <w:p>
            <w:pPr>
              <w:spacing w:after="20"/>
            </w:pPr>
            <w:r/>
            <w:r>
              <w:rPr>
                <w:rFonts w:ascii="Aptos" w:hAnsi="Aptos"/>
                <w:b w:val="0"/>
                <w:sz w:val="16"/>
              </w:rPr>
              <w:t>Reference existing approved KPI definition; do not create a new formula in this LLD.</w:t>
            </w:r>
          </w:p>
        </w:tc>
      </w:tr>
      <w:tr>
        <w:tc>
          <w:tcPr>
            <w:tcW w:type="dxa" w:w="5141"/>
            <w:vAlign w:val="center"/>
          </w:tcPr>
          <w:p>
            <w:pPr>
              <w:spacing w:after="20"/>
            </w:pPr>
            <w:r/>
            <w:r>
              <w:rPr>
                <w:rFonts w:ascii="Aptos" w:hAnsi="Aptos"/>
                <w:b w:val="0"/>
                <w:sz w:val="16"/>
              </w:rPr>
              <w:t>Source inputs</w:t>
            </w:r>
          </w:p>
        </w:tc>
        <w:tc>
          <w:tcPr>
            <w:tcW w:type="dxa" w:w="5141"/>
            <w:vAlign w:val="center"/>
          </w:tcPr>
          <w:p>
            <w:pPr>
              <w:spacing w:after="20"/>
            </w:pPr>
            <w:r/>
            <w:r>
              <w:rPr>
                <w:rFonts w:ascii="Aptos" w:hAnsi="Aptos"/>
                <w:b w:val="0"/>
                <w:sz w:val="16"/>
              </w:rPr>
              <w:t>Exact Databricks object or SharePoint dataset and columns.</w:t>
            </w:r>
          </w:p>
        </w:tc>
      </w:tr>
      <w:tr>
        <w:tc>
          <w:tcPr>
            <w:tcW w:type="dxa" w:w="5141"/>
            <w:vAlign w:val="center"/>
          </w:tcPr>
          <w:p>
            <w:pPr>
              <w:spacing w:after="20"/>
            </w:pPr>
            <w:r/>
            <w:r>
              <w:rPr>
                <w:rFonts w:ascii="Aptos" w:hAnsi="Aptos"/>
                <w:b w:val="0"/>
                <w:sz w:val="16"/>
              </w:rPr>
              <w:t>Grain and dimensions</w:t>
            </w:r>
          </w:p>
        </w:tc>
        <w:tc>
          <w:tcPr>
            <w:tcW w:type="dxa" w:w="5141"/>
            <w:vAlign w:val="center"/>
          </w:tcPr>
          <w:p>
            <w:pPr>
              <w:spacing w:after="20"/>
            </w:pPr>
            <w:r/>
            <w:r>
              <w:rPr>
                <w:rFonts w:ascii="Aptos" w:hAnsi="Aptos"/>
                <w:b w:val="0"/>
                <w:sz w:val="16"/>
              </w:rPr>
              <w:t>Exact output grain and supported dimensions.</w:t>
            </w:r>
          </w:p>
        </w:tc>
      </w:tr>
      <w:tr>
        <w:tc>
          <w:tcPr>
            <w:tcW w:type="dxa" w:w="5141"/>
            <w:vAlign w:val="center"/>
          </w:tcPr>
          <w:p>
            <w:pPr>
              <w:spacing w:after="20"/>
            </w:pPr>
            <w:r/>
            <w:r>
              <w:rPr>
                <w:rFonts w:ascii="Aptos" w:hAnsi="Aptos"/>
                <w:b w:val="0"/>
                <w:sz w:val="16"/>
              </w:rPr>
              <w:t>Filters and exclusions</w:t>
            </w:r>
          </w:p>
        </w:tc>
        <w:tc>
          <w:tcPr>
            <w:tcW w:type="dxa" w:w="5141"/>
            <w:vAlign w:val="center"/>
          </w:tcPr>
          <w:p>
            <w:pPr>
              <w:spacing w:after="20"/>
            </w:pPr>
            <w:r/>
            <w:r>
              <w:rPr>
                <w:rFonts w:ascii="Aptos" w:hAnsi="Aptos"/>
                <w:b w:val="0"/>
                <w:sz w:val="16"/>
              </w:rPr>
              <w:t>Copy approved rules and date/status handling.</w:t>
            </w:r>
          </w:p>
        </w:tc>
      </w:tr>
      <w:tr>
        <w:tc>
          <w:tcPr>
            <w:tcW w:type="dxa" w:w="5141"/>
            <w:vAlign w:val="center"/>
          </w:tcPr>
          <w:p>
            <w:pPr>
              <w:spacing w:after="20"/>
            </w:pPr>
            <w:r/>
            <w:r>
              <w:rPr>
                <w:rFonts w:ascii="Aptos" w:hAnsi="Aptos"/>
                <w:b w:val="0"/>
                <w:sz w:val="16"/>
              </w:rPr>
              <w:t>Null/zero behaviour</w:t>
            </w:r>
          </w:p>
        </w:tc>
        <w:tc>
          <w:tcPr>
            <w:tcW w:type="dxa" w:w="5141"/>
            <w:vAlign w:val="center"/>
          </w:tcPr>
          <w:p>
            <w:pPr>
              <w:spacing w:after="20"/>
            </w:pPr>
            <w:r/>
            <w:r>
              <w:rPr>
                <w:rFonts w:ascii="Aptos" w:hAnsi="Aptos"/>
                <w:b w:val="0"/>
                <w:sz w:val="16"/>
              </w:rPr>
              <w:t>Document existing policy for missing inputs and zero denominators; raise an open decision if absent.</w:t>
            </w:r>
          </w:p>
        </w:tc>
      </w:tr>
      <w:tr>
        <w:tc>
          <w:tcPr>
            <w:tcW w:type="dxa" w:w="5141"/>
            <w:vAlign w:val="center"/>
          </w:tcPr>
          <w:p>
            <w:pPr>
              <w:spacing w:after="20"/>
            </w:pPr>
            <w:r/>
            <w:r>
              <w:rPr>
                <w:rFonts w:ascii="Aptos" w:hAnsi="Aptos"/>
                <w:b w:val="0"/>
                <w:sz w:val="16"/>
              </w:rPr>
              <w:t>Databricks implementation</w:t>
            </w:r>
          </w:p>
        </w:tc>
        <w:tc>
          <w:tcPr>
            <w:tcW w:type="dxa" w:w="5141"/>
            <w:vAlign w:val="center"/>
          </w:tcPr>
          <w:p>
            <w:pPr>
              <w:spacing w:after="20"/>
            </w:pPr>
            <w:r/>
            <w:r>
              <w:rPr>
                <w:rFonts w:ascii="Aptos" w:hAnsi="Aptos"/>
                <w:b w:val="0"/>
                <w:sz w:val="16"/>
              </w:rPr>
              <w:t>Notebook/module/SQL view and output object.</w:t>
            </w:r>
          </w:p>
        </w:tc>
      </w:tr>
      <w:tr>
        <w:tc>
          <w:tcPr>
            <w:tcW w:type="dxa" w:w="5141"/>
            <w:vAlign w:val="center"/>
          </w:tcPr>
          <w:p>
            <w:pPr>
              <w:spacing w:after="20"/>
            </w:pPr>
            <w:r/>
            <w:r>
              <w:rPr>
                <w:rFonts w:ascii="Aptos" w:hAnsi="Aptos"/>
                <w:b w:val="0"/>
                <w:sz w:val="16"/>
              </w:rPr>
              <w:t>PostgreSQL mapping</w:t>
            </w:r>
          </w:p>
        </w:tc>
        <w:tc>
          <w:tcPr>
            <w:tcW w:type="dxa" w:w="5141"/>
            <w:vAlign w:val="center"/>
          </w:tcPr>
          <w:p>
            <w:pPr>
              <w:spacing w:after="20"/>
            </w:pPr>
            <w:r/>
            <w:r>
              <w:rPr>
                <w:rFonts w:ascii="Aptos" w:hAnsi="Aptos"/>
                <w:b w:val="0"/>
                <w:sz w:val="16"/>
              </w:rPr>
              <w:t>Target schema.table and target column.</w:t>
            </w:r>
          </w:p>
        </w:tc>
      </w:tr>
      <w:tr>
        <w:tc>
          <w:tcPr>
            <w:tcW w:type="dxa" w:w="5141"/>
            <w:vAlign w:val="center"/>
          </w:tcPr>
          <w:p>
            <w:pPr>
              <w:spacing w:after="20"/>
            </w:pPr>
            <w:r/>
            <w:r>
              <w:rPr>
                <w:rFonts w:ascii="Aptos" w:hAnsi="Aptos"/>
                <w:b w:val="0"/>
                <w:sz w:val="16"/>
              </w:rPr>
              <w:t>Validation test</w:t>
            </w:r>
          </w:p>
        </w:tc>
        <w:tc>
          <w:tcPr>
            <w:tcW w:type="dxa" w:w="5141"/>
            <w:vAlign w:val="center"/>
          </w:tcPr>
          <w:p>
            <w:pPr>
              <w:spacing w:after="20"/>
            </w:pPr>
            <w:r/>
            <w:r>
              <w:rPr>
                <w:rFonts w:ascii="Aptos" w:hAnsi="Aptos"/>
                <w:b w:val="0"/>
                <w:sz w:val="16"/>
              </w:rPr>
              <w:t>Expected result from a known test sample or agreed baseline.</w:t>
            </w:r>
          </w:p>
        </w:tc>
      </w:tr>
      <w:tr>
        <w:tc>
          <w:tcPr>
            <w:tcW w:type="dxa" w:w="5141"/>
            <w:vAlign w:val="center"/>
          </w:tcPr>
          <w:p>
            <w:pPr>
              <w:spacing w:after="20"/>
            </w:pPr>
            <w:r/>
            <w:r>
              <w:rPr>
                <w:rFonts w:ascii="Aptos" w:hAnsi="Aptos"/>
                <w:b w:val="0"/>
                <w:sz w:val="16"/>
              </w:rPr>
              <w:t>Approval/version</w:t>
            </w:r>
          </w:p>
        </w:tc>
        <w:tc>
          <w:tcPr>
            <w:tcW w:type="dxa" w:w="5141"/>
            <w:vAlign w:val="center"/>
          </w:tcPr>
          <w:p>
            <w:pPr>
              <w:spacing w:after="20"/>
            </w:pPr>
            <w:r/>
            <w:r>
              <w:rPr>
                <w:rFonts w:ascii="Aptos" w:hAnsi="Aptos"/>
                <w:b w:val="0"/>
                <w:sz w:val="16"/>
              </w:rPr>
              <w:t>Business owner, version and approval status.</w:t>
            </w:r>
          </w:p>
        </w:tc>
      </w:tr>
    </w:tbl>
    <w:p/>
    <w:p>
      <w:pPr>
        <w:pStyle w:val="Heading1"/>
        <w:keepNext/>
      </w:pPr>
      <w:r>
        <w:t>9. Data-quality validation and exception handling</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20"/>
            </w:pPr>
            <w:r/>
            <w:r>
              <w:rPr>
                <w:rFonts w:ascii="Aptos" w:hAnsi="Aptos"/>
                <w:b/>
                <w:sz w:val="16"/>
              </w:rPr>
              <w:t>Check type</w:t>
            </w:r>
          </w:p>
        </w:tc>
        <w:tc>
          <w:tcPr>
            <w:tcW w:type="dxa" w:w="3427"/>
            <w:vAlign w:val="center"/>
            <w:shd w:fill="D9EAF7"/>
          </w:tcPr>
          <w:p>
            <w:pPr>
              <w:spacing w:after="20"/>
            </w:pPr>
            <w:r/>
            <w:r>
              <w:rPr>
                <w:rFonts w:ascii="Aptos" w:hAnsi="Aptos"/>
                <w:b/>
                <w:sz w:val="16"/>
              </w:rPr>
              <w:t>Where it applies</w:t>
            </w:r>
          </w:p>
        </w:tc>
        <w:tc>
          <w:tcPr>
            <w:tcW w:type="dxa" w:w="3427"/>
            <w:vAlign w:val="center"/>
            <w:shd w:fill="D9EAF7"/>
          </w:tcPr>
          <w:p>
            <w:pPr>
              <w:spacing w:after="20"/>
            </w:pPr>
            <w:r/>
            <w:r>
              <w:rPr>
                <w:rFonts w:ascii="Aptos" w:hAnsi="Aptos"/>
                <w:b/>
                <w:sz w:val="16"/>
              </w:rPr>
              <w:t>Action to define</w:t>
            </w:r>
          </w:p>
        </w:tc>
      </w:tr>
      <w:tr>
        <w:tc>
          <w:tcPr>
            <w:tcW w:type="dxa" w:w="3427"/>
            <w:vAlign w:val="center"/>
          </w:tcPr>
          <w:p>
            <w:pPr>
              <w:spacing w:after="20"/>
            </w:pPr>
            <w:r/>
            <w:r>
              <w:rPr>
                <w:rFonts w:ascii="Aptos" w:hAnsi="Aptos"/>
                <w:b w:val="0"/>
                <w:sz w:val="16"/>
              </w:rPr>
              <w:t>File presence / parsing</w:t>
            </w:r>
          </w:p>
        </w:tc>
        <w:tc>
          <w:tcPr>
            <w:tcW w:type="dxa" w:w="3427"/>
            <w:vAlign w:val="center"/>
          </w:tcPr>
          <w:p>
            <w:pPr>
              <w:spacing w:after="20"/>
            </w:pPr>
            <w:r/>
            <w:r>
              <w:rPr>
                <w:rFonts w:ascii="Aptos" w:hAnsi="Aptos"/>
                <w:b w:val="0"/>
                <w:sz w:val="16"/>
              </w:rPr>
              <w:t>Each SharePoint file pattern</w:t>
            </w:r>
          </w:p>
        </w:tc>
        <w:tc>
          <w:tcPr>
            <w:tcW w:type="dxa" w:w="3427"/>
            <w:vAlign w:val="center"/>
          </w:tcPr>
          <w:p>
            <w:pPr>
              <w:spacing w:after="20"/>
            </w:pPr>
            <w:r/>
            <w:r>
              <w:rPr>
                <w:rFonts w:ascii="Aptos" w:hAnsi="Aptos"/>
                <w:b w:val="0"/>
                <w:sz w:val="16"/>
              </w:rPr>
              <w:t>Required vs optional file; empty-file policy; malformed-file action.</w:t>
            </w:r>
          </w:p>
        </w:tc>
      </w:tr>
      <w:tr>
        <w:tc>
          <w:tcPr>
            <w:tcW w:type="dxa" w:w="3427"/>
            <w:vAlign w:val="center"/>
          </w:tcPr>
          <w:p>
            <w:pPr>
              <w:spacing w:after="20"/>
            </w:pPr>
            <w:r/>
            <w:r>
              <w:rPr>
                <w:rFonts w:ascii="Aptos" w:hAnsi="Aptos"/>
                <w:b w:val="0"/>
                <w:sz w:val="16"/>
              </w:rPr>
              <w:t>Schema validation</w:t>
            </w:r>
          </w:p>
        </w:tc>
        <w:tc>
          <w:tcPr>
            <w:tcW w:type="dxa" w:w="3427"/>
            <w:vAlign w:val="center"/>
          </w:tcPr>
          <w:p>
            <w:pPr>
              <w:spacing w:after="20"/>
            </w:pPr>
            <w:r/>
            <w:r>
              <w:rPr>
                <w:rFonts w:ascii="Aptos" w:hAnsi="Aptos"/>
                <w:b w:val="0"/>
                <w:sz w:val="16"/>
              </w:rPr>
              <w:t>Each SharePoint file type and Databricks source object</w:t>
            </w:r>
          </w:p>
        </w:tc>
        <w:tc>
          <w:tcPr>
            <w:tcW w:type="dxa" w:w="3427"/>
            <w:vAlign w:val="center"/>
          </w:tcPr>
          <w:p>
            <w:pPr>
              <w:spacing w:after="20"/>
            </w:pPr>
            <w:r/>
            <w:r>
              <w:rPr>
                <w:rFonts w:ascii="Aptos" w:hAnsi="Aptos"/>
                <w:b w:val="0"/>
                <w:sz w:val="16"/>
              </w:rPr>
              <w:t>Required columns, permitted additions, incompatible type changes and approval path.</w:t>
            </w:r>
          </w:p>
        </w:tc>
      </w:tr>
      <w:tr>
        <w:tc>
          <w:tcPr>
            <w:tcW w:type="dxa" w:w="3427"/>
            <w:vAlign w:val="center"/>
          </w:tcPr>
          <w:p>
            <w:pPr>
              <w:spacing w:after="20"/>
            </w:pPr>
            <w:r/>
            <w:r>
              <w:rPr>
                <w:rFonts w:ascii="Aptos" w:hAnsi="Aptos"/>
                <w:b w:val="0"/>
                <w:sz w:val="16"/>
              </w:rPr>
              <w:t>Required fields / nulls</w:t>
            </w:r>
          </w:p>
        </w:tc>
        <w:tc>
          <w:tcPr>
            <w:tcW w:type="dxa" w:w="3427"/>
            <w:vAlign w:val="center"/>
          </w:tcPr>
          <w:p>
            <w:pPr>
              <w:spacing w:after="20"/>
            </w:pPr>
            <w:r/>
            <w:r>
              <w:rPr>
                <w:rFonts w:ascii="Aptos" w:hAnsi="Aptos"/>
                <w:b w:val="0"/>
                <w:sz w:val="16"/>
              </w:rPr>
              <w:t>Each dataset and KPI input</w:t>
            </w:r>
          </w:p>
        </w:tc>
        <w:tc>
          <w:tcPr>
            <w:tcW w:type="dxa" w:w="3427"/>
            <w:vAlign w:val="center"/>
          </w:tcPr>
          <w:p>
            <w:pPr>
              <w:spacing w:after="20"/>
            </w:pPr>
            <w:r/>
            <w:r>
              <w:rPr>
                <w:rFonts w:ascii="Aptos" w:hAnsi="Aptos"/>
                <w:b w:val="0"/>
                <w:sz w:val="16"/>
              </w:rPr>
              <w:t>Column-level null policy and threshold.</w:t>
            </w:r>
          </w:p>
        </w:tc>
      </w:tr>
      <w:tr>
        <w:tc>
          <w:tcPr>
            <w:tcW w:type="dxa" w:w="3427"/>
            <w:vAlign w:val="center"/>
          </w:tcPr>
          <w:p>
            <w:pPr>
              <w:spacing w:after="20"/>
            </w:pPr>
            <w:r/>
            <w:r>
              <w:rPr>
                <w:rFonts w:ascii="Aptos" w:hAnsi="Aptos"/>
                <w:b w:val="0"/>
                <w:sz w:val="16"/>
              </w:rPr>
              <w:t>Duplicate keys</w:t>
            </w:r>
          </w:p>
        </w:tc>
        <w:tc>
          <w:tcPr>
            <w:tcW w:type="dxa" w:w="3427"/>
            <w:vAlign w:val="center"/>
          </w:tcPr>
          <w:p>
            <w:pPr>
              <w:spacing w:after="20"/>
            </w:pPr>
            <w:r/>
            <w:r>
              <w:rPr>
                <w:rFonts w:ascii="Aptos" w:hAnsi="Aptos"/>
                <w:b w:val="0"/>
                <w:sz w:val="16"/>
              </w:rPr>
              <w:t>Datasets with uniqueness expectations</w:t>
            </w:r>
          </w:p>
        </w:tc>
        <w:tc>
          <w:tcPr>
            <w:tcW w:type="dxa" w:w="3427"/>
            <w:vAlign w:val="center"/>
          </w:tcPr>
          <w:p>
            <w:pPr>
              <w:spacing w:after="20"/>
            </w:pPr>
            <w:r/>
            <w:r>
              <w:rPr>
                <w:rFonts w:ascii="Aptos" w:hAnsi="Aptos"/>
                <w:b w:val="0"/>
                <w:sz w:val="16"/>
              </w:rPr>
              <w:t>Business key, deterministic winner rule or reject behaviour.</w:t>
            </w:r>
          </w:p>
        </w:tc>
      </w:tr>
      <w:tr>
        <w:tc>
          <w:tcPr>
            <w:tcW w:type="dxa" w:w="3427"/>
            <w:vAlign w:val="center"/>
          </w:tcPr>
          <w:p>
            <w:pPr>
              <w:spacing w:after="20"/>
            </w:pPr>
            <w:r/>
            <w:r>
              <w:rPr>
                <w:rFonts w:ascii="Aptos" w:hAnsi="Aptos"/>
                <w:b w:val="0"/>
                <w:sz w:val="16"/>
              </w:rPr>
              <w:t>Domain / range</w:t>
            </w:r>
          </w:p>
        </w:tc>
        <w:tc>
          <w:tcPr>
            <w:tcW w:type="dxa" w:w="3427"/>
            <w:vAlign w:val="center"/>
          </w:tcPr>
          <w:p>
            <w:pPr>
              <w:spacing w:after="20"/>
            </w:pPr>
            <w:r/>
            <w:r>
              <w:rPr>
                <w:rFonts w:ascii="Aptos" w:hAnsi="Aptos"/>
                <w:b w:val="0"/>
                <w:sz w:val="16"/>
              </w:rPr>
              <w:t>Business columns and KPI inputs</w:t>
            </w:r>
          </w:p>
        </w:tc>
        <w:tc>
          <w:tcPr>
            <w:tcW w:type="dxa" w:w="3427"/>
            <w:vAlign w:val="center"/>
          </w:tcPr>
          <w:p>
            <w:pPr>
              <w:spacing w:after="20"/>
            </w:pPr>
            <w:r/>
            <w:r>
              <w:rPr>
                <w:rFonts w:ascii="Aptos" w:hAnsi="Aptos"/>
                <w:b w:val="0"/>
                <w:sz w:val="16"/>
              </w:rPr>
              <w:t>Approved values, valid ranges and boundary behaviour.</w:t>
            </w:r>
          </w:p>
        </w:tc>
      </w:tr>
      <w:tr>
        <w:tc>
          <w:tcPr>
            <w:tcW w:type="dxa" w:w="3427"/>
            <w:vAlign w:val="center"/>
          </w:tcPr>
          <w:p>
            <w:pPr>
              <w:spacing w:after="20"/>
            </w:pPr>
            <w:r/>
            <w:r>
              <w:rPr>
                <w:rFonts w:ascii="Aptos" w:hAnsi="Aptos"/>
                <w:b w:val="0"/>
                <w:sz w:val="16"/>
              </w:rPr>
              <w:t>Referential integrity</w:t>
            </w:r>
          </w:p>
        </w:tc>
        <w:tc>
          <w:tcPr>
            <w:tcW w:type="dxa" w:w="3427"/>
            <w:vAlign w:val="center"/>
          </w:tcPr>
          <w:p>
            <w:pPr>
              <w:spacing w:after="20"/>
            </w:pPr>
            <w:r/>
            <w:r>
              <w:rPr>
                <w:rFonts w:ascii="Aptos" w:hAnsi="Aptos"/>
                <w:b w:val="0"/>
                <w:sz w:val="16"/>
              </w:rPr>
              <w:t>Joined/conformed datasets</w:t>
            </w:r>
          </w:p>
        </w:tc>
        <w:tc>
          <w:tcPr>
            <w:tcW w:type="dxa" w:w="3427"/>
            <w:vAlign w:val="center"/>
          </w:tcPr>
          <w:p>
            <w:pPr>
              <w:spacing w:after="20"/>
            </w:pPr>
            <w:r/>
            <w:r>
              <w:rPr>
                <w:rFonts w:ascii="Aptos" w:hAnsi="Aptos"/>
                <w:b w:val="0"/>
                <w:sz w:val="16"/>
              </w:rPr>
              <w:t>Unknown or missing reference-key behaviour.</w:t>
            </w:r>
          </w:p>
        </w:tc>
      </w:tr>
      <w:tr>
        <w:tc>
          <w:tcPr>
            <w:tcW w:type="dxa" w:w="3427"/>
            <w:vAlign w:val="center"/>
          </w:tcPr>
          <w:p>
            <w:pPr>
              <w:spacing w:after="20"/>
            </w:pPr>
            <w:r/>
            <w:r>
              <w:rPr>
                <w:rFonts w:ascii="Aptos" w:hAnsi="Aptos"/>
                <w:b w:val="0"/>
                <w:sz w:val="16"/>
              </w:rPr>
              <w:t>Business rules</w:t>
            </w:r>
          </w:p>
        </w:tc>
        <w:tc>
          <w:tcPr>
            <w:tcW w:type="dxa" w:w="3427"/>
            <w:vAlign w:val="center"/>
          </w:tcPr>
          <w:p>
            <w:pPr>
              <w:spacing w:after="20"/>
            </w:pPr>
            <w:r/>
            <w:r>
              <w:rPr>
                <w:rFonts w:ascii="Aptos" w:hAnsi="Aptos"/>
                <w:b w:val="0"/>
                <w:sz w:val="16"/>
              </w:rPr>
              <w:t>Silver/Gold transformations</w:t>
            </w:r>
          </w:p>
        </w:tc>
        <w:tc>
          <w:tcPr>
            <w:tcW w:type="dxa" w:w="3427"/>
            <w:vAlign w:val="center"/>
          </w:tcPr>
          <w:p>
            <w:pPr>
              <w:spacing w:after="20"/>
            </w:pPr>
            <w:r/>
            <w:r>
              <w:rPr>
                <w:rFonts w:ascii="Aptos" w:hAnsi="Aptos"/>
                <w:b w:val="0"/>
                <w:sz w:val="16"/>
              </w:rPr>
              <w:t>Exact rule expression and error severity.</w:t>
            </w:r>
          </w:p>
        </w:tc>
      </w:tr>
      <w:tr>
        <w:tc>
          <w:tcPr>
            <w:tcW w:type="dxa" w:w="3427"/>
            <w:vAlign w:val="center"/>
          </w:tcPr>
          <w:p>
            <w:pPr>
              <w:spacing w:after="20"/>
            </w:pPr>
            <w:r/>
            <w:r>
              <w:rPr>
                <w:rFonts w:ascii="Aptos" w:hAnsi="Aptos"/>
                <w:b w:val="0"/>
                <w:sz w:val="16"/>
              </w:rPr>
              <w:t>KPI validation</w:t>
            </w:r>
          </w:p>
        </w:tc>
        <w:tc>
          <w:tcPr>
            <w:tcW w:type="dxa" w:w="3427"/>
            <w:vAlign w:val="center"/>
          </w:tcPr>
          <w:p>
            <w:pPr>
              <w:spacing w:after="20"/>
            </w:pPr>
            <w:r/>
            <w:r>
              <w:rPr>
                <w:rFonts w:ascii="Aptos" w:hAnsi="Aptos"/>
                <w:b w:val="0"/>
                <w:sz w:val="16"/>
              </w:rPr>
              <w:t>Existing KPI output</w:t>
            </w:r>
          </w:p>
        </w:tc>
        <w:tc>
          <w:tcPr>
            <w:tcW w:type="dxa" w:w="3427"/>
            <w:vAlign w:val="center"/>
          </w:tcPr>
          <w:p>
            <w:pPr>
              <w:spacing w:after="20"/>
            </w:pPr>
            <w:r/>
            <w:r>
              <w:rPr>
                <w:rFonts w:ascii="Aptos" w:hAnsi="Aptos"/>
                <w:b w:val="0"/>
                <w:sz w:val="16"/>
              </w:rPr>
              <w:t>Recalculate test examples and compare with approved baseline.</w:t>
            </w:r>
          </w:p>
        </w:tc>
      </w:tr>
      <w:tr>
        <w:tc>
          <w:tcPr>
            <w:tcW w:type="dxa" w:w="3427"/>
            <w:vAlign w:val="center"/>
          </w:tcPr>
          <w:p>
            <w:pPr>
              <w:spacing w:after="20"/>
            </w:pPr>
            <w:r/>
            <w:r>
              <w:rPr>
                <w:rFonts w:ascii="Aptos" w:hAnsi="Aptos"/>
                <w:b w:val="0"/>
                <w:sz w:val="16"/>
              </w:rPr>
              <w:t>PostgreSQL target validation</w:t>
            </w:r>
          </w:p>
        </w:tc>
        <w:tc>
          <w:tcPr>
            <w:tcW w:type="dxa" w:w="3427"/>
            <w:vAlign w:val="center"/>
          </w:tcPr>
          <w:p>
            <w:pPr>
              <w:spacing w:after="20"/>
            </w:pPr>
            <w:r/>
            <w:r>
              <w:rPr>
                <w:rFonts w:ascii="Aptos" w:hAnsi="Aptos"/>
                <w:b w:val="0"/>
                <w:sz w:val="16"/>
              </w:rPr>
              <w:t>Staging and final target</w:t>
            </w:r>
          </w:p>
        </w:tc>
        <w:tc>
          <w:tcPr>
            <w:tcW w:type="dxa" w:w="3427"/>
            <w:vAlign w:val="center"/>
          </w:tcPr>
          <w:p>
            <w:pPr>
              <w:spacing w:after="20"/>
            </w:pPr>
            <w:r/>
            <w:r>
              <w:rPr>
                <w:rFonts w:ascii="Aptos" w:hAnsi="Aptos"/>
                <w:b w:val="0"/>
                <w:sz w:val="16"/>
              </w:rPr>
              <w:t>Column types, required values, key uniqueness and load counts.</w:t>
            </w:r>
          </w:p>
        </w:tc>
      </w:tr>
    </w:tbl>
    <w:p/>
    <w:p>
      <w:r>
        <w:t>Assign each rule a severity: BLOCKER, ERROR or WARNING. Define a numeric threshold where meaningful, an owner and the action to take. Blocking failures stop delivery for the affected dataset/target; warnings are logged and may continue only where the approved rule permits it. Invalid rows must not be silently dropped.</w:t>
      </w:r>
    </w:p>
    <w:p>
      <w:pPr>
        <w:pStyle w:val="Heading1"/>
        <w:keepNext/>
      </w:pPr>
      <w:r>
        <w:t>10. PostgreSQL delivery design</w:t>
      </w:r>
    </w:p>
    <w:p>
      <w:pPr>
        <w:pStyle w:val="Heading2"/>
        <w:keepNext/>
      </w:pPr>
      <w:r>
        <w:t>10.1 Recommended target load pattern</w:t>
      </w:r>
    </w:p>
    <w:p>
      <w:pPr>
        <w:pStyle w:val="ListNumber"/>
        <w:spacing w:after="40"/>
      </w:pPr>
      <w:r>
        <w:t>Databricks produces the approved target-ready Delta dataset and completes blocking validation.</w:t>
      </w:r>
    </w:p>
    <w:p>
      <w:pPr>
        <w:pStyle w:val="ListNumber"/>
        <w:spacing w:after="40"/>
      </w:pPr>
      <w:r>
        <w:t>ADF invokes the delivery activity/job with run_id and target configuration.</w:t>
      </w:r>
    </w:p>
    <w:p>
      <w:pPr>
        <w:pStyle w:val="ListNumber"/>
        <w:spacing w:after="40"/>
      </w:pPr>
      <w:r>
        <w:t>Databricks or the approved integration mechanism writes data to a run-specific PostgreSQL staging table or staging partition.</w:t>
      </w:r>
    </w:p>
    <w:p>
      <w:pPr>
        <w:pStyle w:val="ListNumber"/>
        <w:spacing w:after="40"/>
      </w:pPr>
      <w:r>
        <w:t>Validate the staging data: expected columns/types, row counts, mandatory fields, business-key uniqueness and relevant business totals.</w:t>
      </w:r>
    </w:p>
    <w:p>
      <w:pPr>
        <w:pStyle w:val="ListNumber"/>
        <w:spacing w:after="40"/>
      </w:pPr>
      <w:r>
        <w:t>Apply the load method configured for the target table: full refresh, append, or upsert. Use a transaction or controlled stored procedure to avoid publishing partial data.</w:t>
      </w:r>
    </w:p>
    <w:p>
      <w:pPr>
        <w:pStyle w:val="ListNumber"/>
        <w:spacing w:after="40"/>
      </w:pPr>
      <w:r>
        <w:t>Record inserted/updated/deleted counts where available and reconcile the final PostgreSQL target against the approved Databricks output.</w:t>
      </w:r>
    </w:p>
    <w:p>
      <w:pPr>
        <w:pStyle w:val="ListNumber"/>
        <w:spacing w:after="40"/>
      </w:pPr>
      <w:r>
        <w:t>Advance the incremental watermark only after target commit and required reconciliation pass. On failure, keep the previous successful watermark.</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20"/>
            </w:pPr>
            <w:r/>
            <w:r>
              <w:rPr>
                <w:rFonts w:ascii="Aptos" w:hAnsi="Aptos"/>
                <w:b/>
                <w:sz w:val="16"/>
              </w:rPr>
              <w:t>Load strategy</w:t>
            </w:r>
          </w:p>
        </w:tc>
        <w:tc>
          <w:tcPr>
            <w:tcW w:type="dxa" w:w="3427"/>
            <w:vAlign w:val="center"/>
            <w:shd w:fill="D9EAF7"/>
          </w:tcPr>
          <w:p>
            <w:pPr>
              <w:spacing w:after="20"/>
            </w:pPr>
            <w:r/>
            <w:r>
              <w:rPr>
                <w:rFonts w:ascii="Aptos" w:hAnsi="Aptos"/>
                <w:b/>
                <w:sz w:val="16"/>
              </w:rPr>
              <w:t>Use when</w:t>
            </w:r>
          </w:p>
        </w:tc>
        <w:tc>
          <w:tcPr>
            <w:tcW w:type="dxa" w:w="3427"/>
            <w:vAlign w:val="center"/>
            <w:shd w:fill="D9EAF7"/>
          </w:tcPr>
          <w:p>
            <w:pPr>
              <w:spacing w:after="20"/>
            </w:pPr>
            <w:r/>
            <w:r>
              <w:rPr>
                <w:rFonts w:ascii="Aptos" w:hAnsi="Aptos"/>
                <w:b/>
                <w:sz w:val="16"/>
              </w:rPr>
              <w:t>Required decisions</w:t>
            </w:r>
          </w:p>
        </w:tc>
      </w:tr>
      <w:tr>
        <w:tc>
          <w:tcPr>
            <w:tcW w:type="dxa" w:w="3427"/>
            <w:vAlign w:val="center"/>
          </w:tcPr>
          <w:p>
            <w:pPr>
              <w:spacing w:after="20"/>
            </w:pPr>
            <w:r/>
            <w:r>
              <w:rPr>
                <w:rFonts w:ascii="Aptos" w:hAnsi="Aptos"/>
                <w:b w:val="0"/>
                <w:sz w:val="16"/>
              </w:rPr>
              <w:t>Full refresh</w:t>
            </w:r>
          </w:p>
        </w:tc>
        <w:tc>
          <w:tcPr>
            <w:tcW w:type="dxa" w:w="3427"/>
            <w:vAlign w:val="center"/>
          </w:tcPr>
          <w:p>
            <w:pPr>
              <w:spacing w:after="20"/>
            </w:pPr>
            <w:r/>
            <w:r>
              <w:rPr>
                <w:rFonts w:ascii="Aptos" w:hAnsi="Aptos"/>
                <w:b w:val="0"/>
                <w:sz w:val="16"/>
              </w:rPr>
              <w:t>Target represents a complete snapshot and reload volume is manageable.</w:t>
            </w:r>
          </w:p>
        </w:tc>
        <w:tc>
          <w:tcPr>
            <w:tcW w:type="dxa" w:w="3427"/>
            <w:vAlign w:val="center"/>
          </w:tcPr>
          <w:p>
            <w:pPr>
              <w:spacing w:after="20"/>
            </w:pPr>
            <w:r/>
            <w:r>
              <w:rPr>
                <w:rFonts w:ascii="Aptos" w:hAnsi="Aptos"/>
                <w:b w:val="0"/>
                <w:sz w:val="16"/>
              </w:rPr>
              <w:t>Safe publish/swap approach; target downtime expectations; transaction and rollback method.</w:t>
            </w:r>
          </w:p>
        </w:tc>
      </w:tr>
      <w:tr>
        <w:tc>
          <w:tcPr>
            <w:tcW w:type="dxa" w:w="3427"/>
            <w:vAlign w:val="center"/>
          </w:tcPr>
          <w:p>
            <w:pPr>
              <w:spacing w:after="20"/>
            </w:pPr>
            <w:r/>
            <w:r>
              <w:rPr>
                <w:rFonts w:ascii="Aptos" w:hAnsi="Aptos"/>
                <w:b w:val="0"/>
                <w:sz w:val="16"/>
              </w:rPr>
              <w:t>Append</w:t>
            </w:r>
          </w:p>
        </w:tc>
        <w:tc>
          <w:tcPr>
            <w:tcW w:type="dxa" w:w="3427"/>
            <w:vAlign w:val="center"/>
          </w:tcPr>
          <w:p>
            <w:pPr>
              <w:spacing w:after="20"/>
            </w:pPr>
            <w:r/>
            <w:r>
              <w:rPr>
                <w:rFonts w:ascii="Aptos" w:hAnsi="Aptos"/>
                <w:b w:val="0"/>
                <w:sz w:val="16"/>
              </w:rPr>
              <w:t>Records are immutable and should only be inserted.</w:t>
            </w:r>
          </w:p>
        </w:tc>
        <w:tc>
          <w:tcPr>
            <w:tcW w:type="dxa" w:w="3427"/>
            <w:vAlign w:val="center"/>
          </w:tcPr>
          <w:p>
            <w:pPr>
              <w:spacing w:after="20"/>
            </w:pPr>
            <w:r/>
            <w:r>
              <w:rPr>
                <w:rFonts w:ascii="Aptos" w:hAnsi="Aptos"/>
                <w:b w:val="0"/>
                <w:sz w:val="16"/>
              </w:rPr>
              <w:t>Stable unique key and duplicate prevention.</w:t>
            </w:r>
          </w:p>
        </w:tc>
      </w:tr>
      <w:tr>
        <w:tc>
          <w:tcPr>
            <w:tcW w:type="dxa" w:w="3427"/>
            <w:vAlign w:val="center"/>
          </w:tcPr>
          <w:p>
            <w:pPr>
              <w:spacing w:after="20"/>
            </w:pPr>
            <w:r/>
            <w:r>
              <w:rPr>
                <w:rFonts w:ascii="Aptos" w:hAnsi="Aptos"/>
                <w:b w:val="0"/>
                <w:sz w:val="16"/>
              </w:rPr>
              <w:t>Upsert</w:t>
            </w:r>
          </w:p>
        </w:tc>
        <w:tc>
          <w:tcPr>
            <w:tcW w:type="dxa" w:w="3427"/>
            <w:vAlign w:val="center"/>
          </w:tcPr>
          <w:p>
            <w:pPr>
              <w:spacing w:after="20"/>
            </w:pPr>
            <w:r/>
            <w:r>
              <w:rPr>
                <w:rFonts w:ascii="Aptos" w:hAnsi="Aptos"/>
                <w:b w:val="0"/>
                <w:sz w:val="16"/>
              </w:rPr>
              <w:t>Existing business entities can be inserted or updated.</w:t>
            </w:r>
          </w:p>
        </w:tc>
        <w:tc>
          <w:tcPr>
            <w:tcW w:type="dxa" w:w="3427"/>
            <w:vAlign w:val="center"/>
          </w:tcPr>
          <w:p>
            <w:pPr>
              <w:spacing w:after="20"/>
            </w:pPr>
            <w:r/>
            <w:r>
              <w:rPr>
                <w:rFonts w:ascii="Aptos" w:hAnsi="Aptos"/>
                <w:b w:val="0"/>
                <w:sz w:val="16"/>
              </w:rPr>
              <w:t>Business key, update rules, conflict behaviour and whether deletes are supported.</w:t>
            </w:r>
          </w:p>
        </w:tc>
      </w:tr>
      <w:tr>
        <w:tc>
          <w:tcPr>
            <w:tcW w:type="dxa" w:w="3427"/>
            <w:vAlign w:val="center"/>
          </w:tcPr>
          <w:p>
            <w:pPr>
              <w:spacing w:after="20"/>
            </w:pPr>
            <w:r/>
            <w:r>
              <w:rPr>
                <w:rFonts w:ascii="Aptos" w:hAnsi="Aptos"/>
                <w:b w:val="0"/>
                <w:sz w:val="16"/>
              </w:rPr>
              <w:t>Incremental watermark</w:t>
            </w:r>
          </w:p>
        </w:tc>
        <w:tc>
          <w:tcPr>
            <w:tcW w:type="dxa" w:w="3427"/>
            <w:vAlign w:val="center"/>
          </w:tcPr>
          <w:p>
            <w:pPr>
              <w:spacing w:after="20"/>
            </w:pPr>
            <w:r/>
            <w:r>
              <w:rPr>
                <w:rFonts w:ascii="Aptos" w:hAnsi="Aptos"/>
                <w:b w:val="0"/>
                <w:sz w:val="16"/>
              </w:rPr>
              <w:t>Source has a reliable modified timestamp or increasing sequence.</w:t>
            </w:r>
          </w:p>
        </w:tc>
        <w:tc>
          <w:tcPr>
            <w:tcW w:type="dxa" w:w="3427"/>
            <w:vAlign w:val="center"/>
          </w:tcPr>
          <w:p>
            <w:pPr>
              <w:spacing w:after="20"/>
            </w:pPr>
            <w:r/>
            <w:r>
              <w:rPr>
                <w:rFonts w:ascii="Aptos" w:hAnsi="Aptos"/>
                <w:b w:val="0"/>
                <w:sz w:val="16"/>
              </w:rPr>
              <w:t>Watermark column, inclusive/exclusive boundary, lookback window, timestamp ties and late-arriving updates.</w:t>
            </w:r>
          </w:p>
        </w:tc>
      </w:tr>
    </w:tbl>
    <w:p/>
    <w:p>
      <w:r>
        <w:t>The correct strategy must be recorded per PostgreSQL target table. Do not assume one strategy is suitable for every table. If the source does not expose deletes or change data, deletes must not be inferred automatically; document that limitation.</w:t>
      </w:r>
    </w:p>
    <w:p>
      <w:pPr>
        <w:pStyle w:val="Heading2"/>
        <w:keepNext/>
      </w:pPr>
      <w:r>
        <w:t>10.2 PostgreSQL mapping register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vAlign w:val="center"/>
            <w:shd w:fill="D9EAF7"/>
          </w:tcPr>
          <w:p>
            <w:pPr>
              <w:spacing w:after="20"/>
            </w:pPr>
            <w:r/>
            <w:r>
              <w:rPr>
                <w:rFonts w:ascii="Aptos" w:hAnsi="Aptos"/>
                <w:b/>
                <w:sz w:val="14"/>
              </w:rPr>
              <w:t>Databricks output object</w:t>
            </w:r>
          </w:p>
        </w:tc>
        <w:tc>
          <w:tcPr>
            <w:tcW w:type="dxa" w:w="1714"/>
            <w:vAlign w:val="center"/>
            <w:shd w:fill="D9EAF7"/>
          </w:tcPr>
          <w:p>
            <w:pPr>
              <w:spacing w:after="20"/>
            </w:pPr>
            <w:r/>
            <w:r>
              <w:rPr>
                <w:rFonts w:ascii="Aptos" w:hAnsi="Aptos"/>
                <w:b/>
                <w:sz w:val="14"/>
              </w:rPr>
              <w:t>PostgreSQL target</w:t>
            </w:r>
          </w:p>
        </w:tc>
        <w:tc>
          <w:tcPr>
            <w:tcW w:type="dxa" w:w="1714"/>
            <w:vAlign w:val="center"/>
            <w:shd w:fill="D9EAF7"/>
          </w:tcPr>
          <w:p>
            <w:pPr>
              <w:spacing w:after="20"/>
            </w:pPr>
            <w:r/>
            <w:r>
              <w:rPr>
                <w:rFonts w:ascii="Aptos" w:hAnsi="Aptos"/>
                <w:b/>
                <w:sz w:val="14"/>
              </w:rPr>
              <w:t>Business key</w:t>
            </w:r>
          </w:p>
        </w:tc>
        <w:tc>
          <w:tcPr>
            <w:tcW w:type="dxa" w:w="1714"/>
            <w:vAlign w:val="center"/>
            <w:shd w:fill="D9EAF7"/>
          </w:tcPr>
          <w:p>
            <w:pPr>
              <w:spacing w:after="20"/>
            </w:pPr>
            <w:r/>
            <w:r>
              <w:rPr>
                <w:rFonts w:ascii="Aptos" w:hAnsi="Aptos"/>
                <w:b/>
                <w:sz w:val="14"/>
              </w:rPr>
              <w:t>Load strategy</w:t>
            </w:r>
          </w:p>
        </w:tc>
        <w:tc>
          <w:tcPr>
            <w:tcW w:type="dxa" w:w="1714"/>
            <w:vAlign w:val="center"/>
            <w:shd w:fill="D9EAF7"/>
          </w:tcPr>
          <w:p>
            <w:pPr>
              <w:spacing w:after="20"/>
            </w:pPr>
            <w:r/>
            <w:r>
              <w:rPr>
                <w:rFonts w:ascii="Aptos" w:hAnsi="Aptos"/>
                <w:b/>
                <w:sz w:val="14"/>
              </w:rPr>
              <w:t>Incremental/delete rule</w:t>
            </w:r>
          </w:p>
        </w:tc>
        <w:tc>
          <w:tcPr>
            <w:tcW w:type="dxa" w:w="1714"/>
            <w:vAlign w:val="center"/>
            <w:shd w:fill="D9EAF7"/>
          </w:tcPr>
          <w:p>
            <w:pPr>
              <w:spacing w:after="20"/>
            </w:pPr>
            <w:r/>
            <w:r>
              <w:rPr>
                <w:rFonts w:ascii="Aptos" w:hAnsi="Aptos"/>
                <w:b/>
                <w:sz w:val="14"/>
              </w:rPr>
              <w:t>Status</w:t>
            </w:r>
          </w:p>
        </w:tc>
      </w:tr>
      <w:tr>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Open</w:t>
            </w:r>
          </w:p>
        </w:tc>
      </w:tr>
      <w:tr>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Open</w:t>
            </w:r>
          </w:p>
        </w:tc>
      </w:tr>
      <w:tr>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TBD</w:t>
            </w:r>
          </w:p>
        </w:tc>
        <w:tc>
          <w:tcPr>
            <w:tcW w:type="dxa" w:w="1714"/>
            <w:vAlign w:val="center"/>
          </w:tcPr>
          <w:p>
            <w:pPr>
              <w:spacing w:after="20"/>
            </w:pPr>
            <w:r/>
            <w:r>
              <w:rPr>
                <w:rFonts w:ascii="Aptos" w:hAnsi="Aptos"/>
                <w:b w:val="0"/>
                <w:sz w:val="14"/>
              </w:rPr>
              <w:t>Open</w:t>
            </w:r>
          </w:p>
        </w:tc>
      </w:tr>
    </w:tbl>
    <w:p/>
    <w:p>
      <w:pPr>
        <w:pStyle w:val="Heading1"/>
        <w:keepNext/>
      </w:pPr>
      <w:r>
        <w:t>11. Reconciliation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20"/>
            </w:pPr>
            <w:r/>
            <w:r>
              <w:rPr>
                <w:rFonts w:ascii="Aptos" w:hAnsi="Aptos"/>
                <w:b/>
                <w:sz w:val="16"/>
              </w:rPr>
              <w:t>Boundary</w:t>
            </w:r>
          </w:p>
        </w:tc>
        <w:tc>
          <w:tcPr>
            <w:tcW w:type="dxa" w:w="3427"/>
            <w:vAlign w:val="center"/>
            <w:shd w:fill="D9EAF7"/>
          </w:tcPr>
          <w:p>
            <w:pPr>
              <w:spacing w:after="20"/>
            </w:pPr>
            <w:r/>
            <w:r>
              <w:rPr>
                <w:rFonts w:ascii="Aptos" w:hAnsi="Aptos"/>
                <w:b/>
                <w:sz w:val="16"/>
              </w:rPr>
              <w:t>Comparison</w:t>
            </w:r>
          </w:p>
        </w:tc>
        <w:tc>
          <w:tcPr>
            <w:tcW w:type="dxa" w:w="3427"/>
            <w:vAlign w:val="center"/>
            <w:shd w:fill="D9EAF7"/>
          </w:tcPr>
          <w:p>
            <w:pPr>
              <w:spacing w:after="20"/>
            </w:pPr>
            <w:r/>
            <w:r>
              <w:rPr>
                <w:rFonts w:ascii="Aptos" w:hAnsi="Aptos"/>
                <w:b/>
                <w:sz w:val="16"/>
              </w:rPr>
              <w:t>Pass criteria</w:t>
            </w:r>
          </w:p>
        </w:tc>
      </w:tr>
      <w:tr>
        <w:tc>
          <w:tcPr>
            <w:tcW w:type="dxa" w:w="3427"/>
            <w:vAlign w:val="center"/>
          </w:tcPr>
          <w:p>
            <w:pPr>
              <w:spacing w:after="20"/>
            </w:pPr>
            <w:r/>
            <w:r>
              <w:rPr>
                <w:rFonts w:ascii="Aptos" w:hAnsi="Aptos"/>
                <w:b w:val="0"/>
                <w:sz w:val="16"/>
              </w:rPr>
              <w:t>SharePoint → ADLS</w:t>
            </w:r>
          </w:p>
        </w:tc>
        <w:tc>
          <w:tcPr>
            <w:tcW w:type="dxa" w:w="3427"/>
            <w:vAlign w:val="center"/>
          </w:tcPr>
          <w:p>
            <w:pPr>
              <w:spacing w:after="20"/>
            </w:pPr>
            <w:r/>
            <w:r>
              <w:rPr>
                <w:rFonts w:ascii="Aptos" w:hAnsi="Aptos"/>
                <w:b w:val="0"/>
                <w:sz w:val="16"/>
              </w:rPr>
              <w:t>Expected files vs copied files; file size/hash where available.</w:t>
            </w:r>
          </w:p>
        </w:tc>
        <w:tc>
          <w:tcPr>
            <w:tcW w:type="dxa" w:w="3427"/>
            <w:vAlign w:val="center"/>
          </w:tcPr>
          <w:p>
            <w:pPr>
              <w:spacing w:after="20"/>
            </w:pPr>
            <w:r/>
            <w:r>
              <w:rPr>
                <w:rFonts w:ascii="Aptos" w:hAnsi="Aptos"/>
                <w:b w:val="0"/>
                <w:sz w:val="16"/>
              </w:rPr>
              <w:t>All required files copied or exception formally handled.</w:t>
            </w:r>
          </w:p>
        </w:tc>
      </w:tr>
      <w:tr>
        <w:tc>
          <w:tcPr>
            <w:tcW w:type="dxa" w:w="3427"/>
            <w:vAlign w:val="center"/>
          </w:tcPr>
          <w:p>
            <w:pPr>
              <w:spacing w:after="20"/>
            </w:pPr>
            <w:r/>
            <w:r>
              <w:rPr>
                <w:rFonts w:ascii="Aptos" w:hAnsi="Aptos"/>
                <w:b w:val="0"/>
                <w:sz w:val="16"/>
              </w:rPr>
              <w:t>ADLS/file → Databricks Bronze</w:t>
            </w:r>
          </w:p>
        </w:tc>
        <w:tc>
          <w:tcPr>
            <w:tcW w:type="dxa" w:w="3427"/>
            <w:vAlign w:val="center"/>
          </w:tcPr>
          <w:p>
            <w:pPr>
              <w:spacing w:after="20"/>
            </w:pPr>
            <w:r/>
            <w:r>
              <w:rPr>
                <w:rFonts w:ascii="Aptos" w:hAnsi="Aptos"/>
                <w:b w:val="0"/>
                <w:sz w:val="16"/>
              </w:rPr>
              <w:t>Parsed input rows vs rows stored plus documented parse rejects.</w:t>
            </w:r>
          </w:p>
        </w:tc>
        <w:tc>
          <w:tcPr>
            <w:tcW w:type="dxa" w:w="3427"/>
            <w:vAlign w:val="center"/>
          </w:tcPr>
          <w:p>
            <w:pPr>
              <w:spacing w:after="20"/>
            </w:pPr>
            <w:r/>
            <w:r>
              <w:rPr>
                <w:rFonts w:ascii="Aptos" w:hAnsi="Aptos"/>
                <w:b w:val="0"/>
                <w:sz w:val="16"/>
              </w:rPr>
              <w:t>All input rows accounted for.</w:t>
            </w:r>
          </w:p>
        </w:tc>
      </w:tr>
      <w:tr>
        <w:tc>
          <w:tcPr>
            <w:tcW w:type="dxa" w:w="3427"/>
            <w:vAlign w:val="center"/>
          </w:tcPr>
          <w:p>
            <w:pPr>
              <w:spacing w:after="20"/>
            </w:pPr>
            <w:r/>
            <w:r>
              <w:rPr>
                <w:rFonts w:ascii="Aptos" w:hAnsi="Aptos"/>
                <w:b w:val="0"/>
                <w:sz w:val="16"/>
              </w:rPr>
              <w:t>Bronze → Silver</w:t>
            </w:r>
          </w:p>
        </w:tc>
        <w:tc>
          <w:tcPr>
            <w:tcW w:type="dxa" w:w="3427"/>
            <w:vAlign w:val="center"/>
          </w:tcPr>
          <w:p>
            <w:pPr>
              <w:spacing w:after="20"/>
            </w:pPr>
            <w:r/>
            <w:r>
              <w:rPr>
                <w:rFonts w:ascii="Aptos" w:hAnsi="Aptos"/>
                <w:b w:val="0"/>
                <w:sz w:val="16"/>
              </w:rPr>
              <w:t>Valid rows + rejected rows + intentionally excluded rows vs source rows.</w:t>
            </w:r>
          </w:p>
        </w:tc>
        <w:tc>
          <w:tcPr>
            <w:tcW w:type="dxa" w:w="3427"/>
            <w:vAlign w:val="center"/>
          </w:tcPr>
          <w:p>
            <w:pPr>
              <w:spacing w:after="20"/>
            </w:pPr>
            <w:r/>
            <w:r>
              <w:rPr>
                <w:rFonts w:ascii="Aptos" w:hAnsi="Aptos"/>
                <w:b w:val="0"/>
                <w:sz w:val="16"/>
              </w:rPr>
              <w:t>No unexplained row loss.</w:t>
            </w:r>
          </w:p>
        </w:tc>
      </w:tr>
      <w:tr>
        <w:tc>
          <w:tcPr>
            <w:tcW w:type="dxa" w:w="3427"/>
            <w:vAlign w:val="center"/>
          </w:tcPr>
          <w:p>
            <w:pPr>
              <w:spacing w:after="20"/>
            </w:pPr>
            <w:r/>
            <w:r>
              <w:rPr>
                <w:rFonts w:ascii="Aptos" w:hAnsi="Aptos"/>
                <w:b w:val="0"/>
                <w:sz w:val="16"/>
              </w:rPr>
              <w:t>Silver → Gold/KPI</w:t>
            </w:r>
          </w:p>
        </w:tc>
        <w:tc>
          <w:tcPr>
            <w:tcW w:type="dxa" w:w="3427"/>
            <w:vAlign w:val="center"/>
          </w:tcPr>
          <w:p>
            <w:pPr>
              <w:spacing w:after="20"/>
            </w:pPr>
            <w:r/>
            <w:r>
              <w:rPr>
                <w:rFonts w:ascii="Aptos" w:hAnsi="Aptos"/>
                <w:b w:val="0"/>
                <w:sz w:val="16"/>
              </w:rPr>
              <w:t>Counts and business totals at the correct aggregation grain.</w:t>
            </w:r>
          </w:p>
        </w:tc>
        <w:tc>
          <w:tcPr>
            <w:tcW w:type="dxa" w:w="3427"/>
            <w:vAlign w:val="center"/>
          </w:tcPr>
          <w:p>
            <w:pPr>
              <w:spacing w:after="20"/>
            </w:pPr>
            <w:r/>
            <w:r>
              <w:rPr>
                <w:rFonts w:ascii="Aptos" w:hAnsi="Aptos"/>
                <w:b w:val="0"/>
                <w:sz w:val="16"/>
              </w:rPr>
              <w:t>Differences explained by documented joins, filters and aggregation.</w:t>
            </w:r>
          </w:p>
        </w:tc>
      </w:tr>
      <w:tr>
        <w:tc>
          <w:tcPr>
            <w:tcW w:type="dxa" w:w="3427"/>
            <w:vAlign w:val="center"/>
          </w:tcPr>
          <w:p>
            <w:pPr>
              <w:spacing w:after="20"/>
            </w:pPr>
            <w:r/>
            <w:r>
              <w:rPr>
                <w:rFonts w:ascii="Aptos" w:hAnsi="Aptos"/>
                <w:b w:val="0"/>
                <w:sz w:val="16"/>
              </w:rPr>
              <w:t>Databricks target-ready → PostgreSQL</w:t>
            </w:r>
          </w:p>
        </w:tc>
        <w:tc>
          <w:tcPr>
            <w:tcW w:type="dxa" w:w="3427"/>
            <w:vAlign w:val="center"/>
          </w:tcPr>
          <w:p>
            <w:pPr>
              <w:spacing w:after="20"/>
            </w:pPr>
            <w:r/>
            <w:r>
              <w:rPr>
                <w:rFonts w:ascii="Aptos" w:hAnsi="Aptos"/>
                <w:b w:val="0"/>
                <w:sz w:val="16"/>
              </w:rPr>
              <w:t>Row counts, distinct business keys and selected business/KPI totals.</w:t>
            </w:r>
          </w:p>
        </w:tc>
        <w:tc>
          <w:tcPr>
            <w:tcW w:type="dxa" w:w="3427"/>
            <w:vAlign w:val="center"/>
          </w:tcPr>
          <w:p>
            <w:pPr>
              <w:spacing w:after="20"/>
            </w:pPr>
            <w:r/>
            <w:r>
              <w:rPr>
                <w:rFonts w:ascii="Aptos" w:hAnsi="Aptos"/>
                <w:b w:val="0"/>
                <w:sz w:val="16"/>
              </w:rPr>
              <w:t>Exact match or approved tolerance; variance recorded.</w:t>
            </w:r>
          </w:p>
        </w:tc>
      </w:tr>
    </w:tbl>
    <w:p/>
    <w:p>
      <w:r>
        <w:t>Record run_id, source/target names, comparison values, variance, threshold, status and exception reference. Do not compare counts across different grains without accounting for intentional aggregation, deduplication and filtering.</w:t>
      </w:r>
    </w:p>
    <w:p>
      <w:pPr>
        <w:pStyle w:val="Heading1"/>
        <w:keepNext/>
      </w:pPr>
      <w:r>
        <w:t>12. Run logging, monitoring and notifications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Log / metric</w:t>
            </w:r>
          </w:p>
        </w:tc>
        <w:tc>
          <w:tcPr>
            <w:tcW w:type="dxa" w:w="5141"/>
            <w:vAlign w:val="center"/>
            <w:shd w:fill="D9EAF7"/>
          </w:tcPr>
          <w:p>
            <w:pPr>
              <w:spacing w:after="20"/>
            </w:pPr>
            <w:r/>
            <w:r>
              <w:rPr>
                <w:rFonts w:ascii="Aptos" w:hAnsi="Aptos"/>
                <w:b/>
                <w:sz w:val="16"/>
              </w:rPr>
              <w:t>Minimum fields</w:t>
            </w:r>
          </w:p>
        </w:tc>
      </w:tr>
      <w:tr>
        <w:tc>
          <w:tcPr>
            <w:tcW w:type="dxa" w:w="5141"/>
            <w:vAlign w:val="center"/>
          </w:tcPr>
          <w:p>
            <w:pPr>
              <w:spacing w:after="20"/>
            </w:pPr>
            <w:r/>
            <w:r>
              <w:rPr>
                <w:rFonts w:ascii="Aptos" w:hAnsi="Aptos"/>
                <w:b w:val="0"/>
                <w:sz w:val="16"/>
              </w:rPr>
              <w:t>Pipeline run</w:t>
            </w:r>
          </w:p>
        </w:tc>
        <w:tc>
          <w:tcPr>
            <w:tcW w:type="dxa" w:w="5141"/>
            <w:vAlign w:val="center"/>
          </w:tcPr>
          <w:p>
            <w:pPr>
              <w:spacing w:after="20"/>
            </w:pPr>
            <w:r/>
            <w:r>
              <w:rPr>
                <w:rFonts w:ascii="Aptos" w:hAnsi="Aptos"/>
                <w:b w:val="0"/>
                <w:sz w:val="16"/>
              </w:rPr>
              <w:t>run_id, pipeline name, start/end time, duration, status, retry count and error summary.</w:t>
            </w:r>
          </w:p>
        </w:tc>
      </w:tr>
      <w:tr>
        <w:tc>
          <w:tcPr>
            <w:tcW w:type="dxa" w:w="5141"/>
            <w:vAlign w:val="center"/>
          </w:tcPr>
          <w:p>
            <w:pPr>
              <w:spacing w:after="20"/>
            </w:pPr>
            <w:r/>
            <w:r>
              <w:rPr>
                <w:rFonts w:ascii="Aptos" w:hAnsi="Aptos"/>
                <w:b w:val="0"/>
                <w:sz w:val="16"/>
              </w:rPr>
              <w:t>Source file run</w:t>
            </w:r>
          </w:p>
        </w:tc>
        <w:tc>
          <w:tcPr>
            <w:tcW w:type="dxa" w:w="5141"/>
            <w:vAlign w:val="center"/>
          </w:tcPr>
          <w:p>
            <w:pPr>
              <w:spacing w:after="20"/>
            </w:pPr>
            <w:r/>
            <w:r>
              <w:rPr>
                <w:rFonts w:ascii="Aptos" w:hAnsi="Aptos"/>
                <w:b w:val="0"/>
                <w:sz w:val="16"/>
              </w:rPr>
              <w:t>source_id, site, file path/name, hash, size, modified/arrival time, schema version, status and row counts.</w:t>
            </w:r>
          </w:p>
        </w:tc>
      </w:tr>
      <w:tr>
        <w:tc>
          <w:tcPr>
            <w:tcW w:type="dxa" w:w="5141"/>
            <w:vAlign w:val="center"/>
          </w:tcPr>
          <w:p>
            <w:pPr>
              <w:spacing w:after="20"/>
            </w:pPr>
            <w:r/>
            <w:r>
              <w:rPr>
                <w:rFonts w:ascii="Aptos" w:hAnsi="Aptos"/>
                <w:b w:val="0"/>
                <w:sz w:val="16"/>
              </w:rPr>
              <w:t>Databricks processing</w:t>
            </w:r>
          </w:p>
        </w:tc>
        <w:tc>
          <w:tcPr>
            <w:tcW w:type="dxa" w:w="5141"/>
            <w:vAlign w:val="center"/>
          </w:tcPr>
          <w:p>
            <w:pPr>
              <w:spacing w:after="20"/>
            </w:pPr>
            <w:r/>
            <w:r>
              <w:rPr>
                <w:rFonts w:ascii="Aptos" w:hAnsi="Aptos"/>
                <w:b w:val="0"/>
                <w:sz w:val="16"/>
              </w:rPr>
              <w:t>input/output row counts, rejected/excluded counts, notebook/job identifier, duration and exception details.</w:t>
            </w:r>
          </w:p>
        </w:tc>
      </w:tr>
      <w:tr>
        <w:tc>
          <w:tcPr>
            <w:tcW w:type="dxa" w:w="5141"/>
            <w:vAlign w:val="center"/>
          </w:tcPr>
          <w:p>
            <w:pPr>
              <w:spacing w:after="20"/>
            </w:pPr>
            <w:r/>
            <w:r>
              <w:rPr>
                <w:rFonts w:ascii="Aptos" w:hAnsi="Aptos"/>
                <w:b w:val="0"/>
                <w:sz w:val="16"/>
              </w:rPr>
              <w:t>DQ results</w:t>
            </w:r>
          </w:p>
        </w:tc>
        <w:tc>
          <w:tcPr>
            <w:tcW w:type="dxa" w:w="5141"/>
            <w:vAlign w:val="center"/>
          </w:tcPr>
          <w:p>
            <w:pPr>
              <w:spacing w:after="20"/>
            </w:pPr>
            <w:r/>
            <w:r>
              <w:rPr>
                <w:rFonts w:ascii="Aptos" w:hAnsi="Aptos"/>
                <w:b w:val="0"/>
                <w:sz w:val="16"/>
              </w:rPr>
              <w:t>rule ID, severity, tested count, failed count, threshold, status and sample reference.</w:t>
            </w:r>
          </w:p>
        </w:tc>
      </w:tr>
      <w:tr>
        <w:tc>
          <w:tcPr>
            <w:tcW w:type="dxa" w:w="5141"/>
            <w:vAlign w:val="center"/>
          </w:tcPr>
          <w:p>
            <w:pPr>
              <w:spacing w:after="20"/>
            </w:pPr>
            <w:r/>
            <w:r>
              <w:rPr>
                <w:rFonts w:ascii="Aptos" w:hAnsi="Aptos"/>
                <w:b w:val="0"/>
                <w:sz w:val="16"/>
              </w:rPr>
              <w:t>PostgreSQL delivery</w:t>
            </w:r>
          </w:p>
        </w:tc>
        <w:tc>
          <w:tcPr>
            <w:tcW w:type="dxa" w:w="5141"/>
            <w:vAlign w:val="center"/>
          </w:tcPr>
          <w:p>
            <w:pPr>
              <w:spacing w:after="20"/>
            </w:pPr>
            <w:r/>
            <w:r>
              <w:rPr>
                <w:rFonts w:ascii="Aptos" w:hAnsi="Aptos"/>
                <w:b w:val="0"/>
                <w:sz w:val="16"/>
              </w:rPr>
              <w:t>target table, load type, staging count, inserted/updated/deleted counts, commit status and duration.</w:t>
            </w:r>
          </w:p>
        </w:tc>
      </w:tr>
      <w:tr>
        <w:tc>
          <w:tcPr>
            <w:tcW w:type="dxa" w:w="5141"/>
            <w:vAlign w:val="center"/>
          </w:tcPr>
          <w:p>
            <w:pPr>
              <w:spacing w:after="20"/>
            </w:pPr>
            <w:r/>
            <w:r>
              <w:rPr>
                <w:rFonts w:ascii="Aptos" w:hAnsi="Aptos"/>
                <w:b w:val="0"/>
                <w:sz w:val="16"/>
              </w:rPr>
              <w:t>Reconciliation</w:t>
            </w:r>
          </w:p>
        </w:tc>
        <w:tc>
          <w:tcPr>
            <w:tcW w:type="dxa" w:w="5141"/>
            <w:vAlign w:val="center"/>
          </w:tcPr>
          <w:p>
            <w:pPr>
              <w:spacing w:after="20"/>
            </w:pPr>
            <w:r/>
            <w:r>
              <w:rPr>
                <w:rFonts w:ascii="Aptos" w:hAnsi="Aptos"/>
                <w:b w:val="0"/>
                <w:sz w:val="16"/>
              </w:rPr>
              <w:t>source/target values, variance, threshold, status and resolution.</w:t>
            </w:r>
          </w:p>
        </w:tc>
      </w:tr>
      <w:tr>
        <w:tc>
          <w:tcPr>
            <w:tcW w:type="dxa" w:w="5141"/>
            <w:vAlign w:val="center"/>
          </w:tcPr>
          <w:p>
            <w:pPr>
              <w:spacing w:after="20"/>
            </w:pPr>
            <w:r/>
            <w:r>
              <w:rPr>
                <w:rFonts w:ascii="Aptos" w:hAnsi="Aptos"/>
                <w:b w:val="0"/>
                <w:sz w:val="16"/>
              </w:rPr>
              <w:t>Watermark</w:t>
            </w:r>
          </w:p>
        </w:tc>
        <w:tc>
          <w:tcPr>
            <w:tcW w:type="dxa" w:w="5141"/>
            <w:vAlign w:val="center"/>
          </w:tcPr>
          <w:p>
            <w:pPr>
              <w:spacing w:after="20"/>
            </w:pPr>
            <w:r/>
            <w:r>
              <w:rPr>
                <w:rFonts w:ascii="Aptos" w:hAnsi="Aptos"/>
                <w:b w:val="0"/>
                <w:sz w:val="16"/>
              </w:rPr>
              <w:t>previous value, proposed value, committed value and run_id.</w:t>
            </w:r>
          </w:p>
        </w:tc>
      </w:tr>
    </w:tbl>
    <w:p/>
    <w:p>
      <w:pPr>
        <w:pStyle w:val="ListBullet"/>
        <w:spacing w:after="40"/>
      </w:pPr>
      <w:r>
        <w:t>Configure central notifications to the approved Teams, email or monitoring destination for pipeline failures, missing required files, blocking data-quality failures, PostgreSQL errors and reconciliation mismatches.</w:t>
      </w:r>
    </w:p>
    <w:p>
      <w:pPr>
        <w:pStyle w:val="ListBullet"/>
        <w:spacing w:after="40"/>
      </w:pPr>
      <w:r>
        <w:t>The actual notification channel, recipients, escalation matrix and support hours must be agreed with operations.</w:t>
      </w:r>
    </w:p>
    <w:p>
      <w:pPr>
        <w:pStyle w:val="ListBullet"/>
        <w:spacing w:after="40"/>
      </w:pPr>
      <w:r>
        <w:t>Do not include credentials or full sensitive records in notifications.</w:t>
      </w:r>
    </w:p>
    <w:p>
      <w:pPr>
        <w:pStyle w:val="Heading1"/>
        <w:keepNext/>
      </w:pPr>
      <w:r>
        <w:t>13. Retry, restart and backfill</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6"/>
              </w:rPr>
              <w:t>Scenario</w:t>
            </w:r>
          </w:p>
        </w:tc>
        <w:tc>
          <w:tcPr>
            <w:tcW w:type="dxa" w:w="5141"/>
            <w:vAlign w:val="center"/>
            <w:shd w:fill="D9EAF7"/>
          </w:tcPr>
          <w:p>
            <w:pPr>
              <w:spacing w:after="20"/>
            </w:pPr>
            <w:r/>
            <w:r>
              <w:rPr>
                <w:rFonts w:ascii="Aptos" w:hAnsi="Aptos"/>
                <w:b/>
                <w:sz w:val="16"/>
              </w:rPr>
              <w:t>Expected behaviour</w:t>
            </w:r>
          </w:p>
        </w:tc>
      </w:tr>
      <w:tr>
        <w:tc>
          <w:tcPr>
            <w:tcW w:type="dxa" w:w="5141"/>
            <w:vAlign w:val="center"/>
          </w:tcPr>
          <w:p>
            <w:pPr>
              <w:spacing w:after="20"/>
            </w:pPr>
            <w:r/>
            <w:r>
              <w:rPr>
                <w:rFonts w:ascii="Aptos" w:hAnsi="Aptos"/>
                <w:b w:val="0"/>
                <w:sz w:val="16"/>
              </w:rPr>
              <w:t>Transient connector/network failure</w:t>
            </w:r>
          </w:p>
        </w:tc>
        <w:tc>
          <w:tcPr>
            <w:tcW w:type="dxa" w:w="5141"/>
            <w:vAlign w:val="center"/>
          </w:tcPr>
          <w:p>
            <w:pPr>
              <w:spacing w:after="20"/>
            </w:pPr>
            <w:r/>
            <w:r>
              <w:rPr>
                <w:rFonts w:ascii="Aptos" w:hAnsi="Aptos"/>
                <w:b w:val="0"/>
                <w:sz w:val="16"/>
              </w:rPr>
              <w:t>Use bounded retries with backoff; fail and alert after the retry limit.</w:t>
            </w:r>
          </w:p>
        </w:tc>
      </w:tr>
      <w:tr>
        <w:tc>
          <w:tcPr>
            <w:tcW w:type="dxa" w:w="5141"/>
            <w:vAlign w:val="center"/>
          </w:tcPr>
          <w:p>
            <w:pPr>
              <w:spacing w:after="20"/>
            </w:pPr>
            <w:r/>
            <w:r>
              <w:rPr>
                <w:rFonts w:ascii="Aptos" w:hAnsi="Aptos"/>
                <w:b w:val="0"/>
                <w:sz w:val="16"/>
              </w:rPr>
              <w:t>Missing required SharePoint file</w:t>
            </w:r>
          </w:p>
        </w:tc>
        <w:tc>
          <w:tcPr>
            <w:tcW w:type="dxa" w:w="5141"/>
            <w:vAlign w:val="center"/>
          </w:tcPr>
          <w:p>
            <w:pPr>
              <w:spacing w:after="20"/>
            </w:pPr>
            <w:r/>
            <w:r>
              <w:rPr>
                <w:rFonts w:ascii="Aptos" w:hAnsi="Aptos"/>
                <w:b w:val="0"/>
                <w:sz w:val="16"/>
              </w:rPr>
              <w:t>Record missing/waiting status and follow the agreed late-file policy; do not publish incomplete output silently.</w:t>
            </w:r>
          </w:p>
        </w:tc>
      </w:tr>
      <w:tr>
        <w:tc>
          <w:tcPr>
            <w:tcW w:type="dxa" w:w="5141"/>
            <w:vAlign w:val="center"/>
          </w:tcPr>
          <w:p>
            <w:pPr>
              <w:spacing w:after="20"/>
            </w:pPr>
            <w:r/>
            <w:r>
              <w:rPr>
                <w:rFonts w:ascii="Aptos" w:hAnsi="Aptos"/>
                <w:b w:val="0"/>
                <w:sz w:val="16"/>
              </w:rPr>
              <w:t>Schema drift or parse error</w:t>
            </w:r>
          </w:p>
        </w:tc>
        <w:tc>
          <w:tcPr>
            <w:tcW w:type="dxa" w:w="5141"/>
            <w:vAlign w:val="center"/>
          </w:tcPr>
          <w:p>
            <w:pPr>
              <w:spacing w:after="20"/>
            </w:pPr>
            <w:r/>
            <w:r>
              <w:rPr>
                <w:rFonts w:ascii="Aptos" w:hAnsi="Aptos"/>
                <w:b w:val="0"/>
                <w:sz w:val="16"/>
              </w:rPr>
              <w:t>Stop or quarantine the affected file according to its contract; preserve raw evidence and request a schema/contract decision.</w:t>
            </w:r>
          </w:p>
        </w:tc>
      </w:tr>
      <w:tr>
        <w:tc>
          <w:tcPr>
            <w:tcW w:type="dxa" w:w="5141"/>
            <w:vAlign w:val="center"/>
          </w:tcPr>
          <w:p>
            <w:pPr>
              <w:spacing w:after="20"/>
            </w:pPr>
            <w:r/>
            <w:r>
              <w:rPr>
                <w:rFonts w:ascii="Aptos" w:hAnsi="Aptos"/>
                <w:b w:val="0"/>
                <w:sz w:val="16"/>
              </w:rPr>
              <w:t>Databricks transformation failure</w:t>
            </w:r>
          </w:p>
        </w:tc>
        <w:tc>
          <w:tcPr>
            <w:tcW w:type="dxa" w:w="5141"/>
            <w:vAlign w:val="center"/>
          </w:tcPr>
          <w:p>
            <w:pPr>
              <w:spacing w:after="20"/>
            </w:pPr>
            <w:r/>
            <w:r>
              <w:rPr>
                <w:rFonts w:ascii="Aptos" w:hAnsi="Aptos"/>
                <w:b w:val="0"/>
                <w:sz w:val="16"/>
              </w:rPr>
              <w:t>Capture run details and error; rerun from a safe stage using idempotent writes.</w:t>
            </w:r>
          </w:p>
        </w:tc>
      </w:tr>
      <w:tr>
        <w:tc>
          <w:tcPr>
            <w:tcW w:type="dxa" w:w="5141"/>
            <w:vAlign w:val="center"/>
          </w:tcPr>
          <w:p>
            <w:pPr>
              <w:spacing w:after="20"/>
            </w:pPr>
            <w:r/>
            <w:r>
              <w:rPr>
                <w:rFonts w:ascii="Aptos" w:hAnsi="Aptos"/>
                <w:b w:val="0"/>
                <w:sz w:val="16"/>
              </w:rPr>
              <w:t>PostgreSQL failure</w:t>
            </w:r>
          </w:p>
        </w:tc>
        <w:tc>
          <w:tcPr>
            <w:tcW w:type="dxa" w:w="5141"/>
            <w:vAlign w:val="center"/>
          </w:tcPr>
          <w:p>
            <w:pPr>
              <w:spacing w:after="20"/>
            </w:pPr>
            <w:r/>
            <w:r>
              <w:rPr>
                <w:rFonts w:ascii="Aptos" w:hAnsi="Aptos"/>
                <w:b w:val="0"/>
                <w:sz w:val="16"/>
              </w:rPr>
              <w:t>Retain validated output; retry delivery without recalculating or duplicating already committed rows.</w:t>
            </w:r>
          </w:p>
        </w:tc>
      </w:tr>
      <w:tr>
        <w:tc>
          <w:tcPr>
            <w:tcW w:type="dxa" w:w="5141"/>
            <w:vAlign w:val="center"/>
          </w:tcPr>
          <w:p>
            <w:pPr>
              <w:spacing w:after="20"/>
            </w:pPr>
            <w:r/>
            <w:r>
              <w:rPr>
                <w:rFonts w:ascii="Aptos" w:hAnsi="Aptos"/>
                <w:b w:val="0"/>
                <w:sz w:val="16"/>
              </w:rPr>
              <w:t>Reconciliation failure</w:t>
            </w:r>
          </w:p>
        </w:tc>
        <w:tc>
          <w:tcPr>
            <w:tcW w:type="dxa" w:w="5141"/>
            <w:vAlign w:val="center"/>
          </w:tcPr>
          <w:p>
            <w:pPr>
              <w:spacing w:after="20"/>
            </w:pPr>
            <w:r/>
            <w:r>
              <w:rPr>
                <w:rFonts w:ascii="Aptos" w:hAnsi="Aptos"/>
                <w:b w:val="0"/>
                <w:sz w:val="16"/>
              </w:rPr>
              <w:t>Mark run as failed/reconciliation-pending; do not advance watermark; investigate before replay.</w:t>
            </w:r>
          </w:p>
        </w:tc>
      </w:tr>
      <w:tr>
        <w:tc>
          <w:tcPr>
            <w:tcW w:type="dxa" w:w="5141"/>
            <w:vAlign w:val="center"/>
          </w:tcPr>
          <w:p>
            <w:pPr>
              <w:spacing w:after="20"/>
            </w:pPr>
            <w:r/>
            <w:r>
              <w:rPr>
                <w:rFonts w:ascii="Aptos" w:hAnsi="Aptos"/>
                <w:b w:val="0"/>
                <w:sz w:val="16"/>
              </w:rPr>
              <w:t>Backfill</w:t>
            </w:r>
          </w:p>
        </w:tc>
        <w:tc>
          <w:tcPr>
            <w:tcW w:type="dxa" w:w="5141"/>
            <w:vAlign w:val="center"/>
          </w:tcPr>
          <w:p>
            <w:pPr>
              <w:spacing w:after="20"/>
            </w:pPr>
            <w:r/>
            <w:r>
              <w:rPr>
                <w:rFonts w:ascii="Aptos" w:hAnsi="Aptos"/>
                <w:b w:val="0"/>
                <w:sz w:val="16"/>
              </w:rPr>
              <w:t>Require source/date range and reason; use a backfill flag; preserve audit records and use the same deduplication/upsert safeguards.</w:t>
            </w:r>
          </w:p>
        </w:tc>
      </w:tr>
    </w:tbl>
    <w:p/>
    <w:p>
      <w:pPr>
        <w:pStyle w:val="Heading1"/>
        <w:keepNext/>
      </w:pPr>
      <w:r>
        <w:t>14. Performance and operational considerations</w:t>
      </w:r>
    </w:p>
    <w:p>
      <w:pPr>
        <w:pStyle w:val="ListBullet"/>
        <w:spacing w:after="40"/>
      </w:pPr>
      <w:r>
        <w:t>Confirm file sizes, number of files, Databricks source table sizes, processing frequency, target row counts and SLA before sizing clusters or parallelism.</w:t>
      </w:r>
    </w:p>
    <w:p>
      <w:pPr>
        <w:pStyle w:val="ListBullet"/>
        <w:spacing w:after="40"/>
      </w:pPr>
      <w:r>
        <w:t>Use explicit schemas and select only required columns. Prefer Spark-native operations over Python UDFs where practical.</w:t>
      </w:r>
    </w:p>
    <w:p>
      <w:pPr>
        <w:pStyle w:val="ListBullet"/>
        <w:spacing w:after="40"/>
      </w:pPr>
      <w:r>
        <w:t>Parallelise the two SharePoint site ingestions only when permissions, connector throttling, Databricks capacity and target contention allow it.</w:t>
      </w:r>
    </w:p>
    <w:p>
      <w:pPr>
        <w:pStyle w:val="ListBullet"/>
        <w:spacing w:after="40"/>
      </w:pPr>
      <w:r>
        <w:t>Use batch/staging-based PostgreSQL delivery for large outputs and agree batch size, index strategy, connection limits and transaction duration with the database owner.</w:t>
      </w:r>
    </w:p>
    <w:p>
      <w:pPr>
        <w:pStyle w:val="ListBullet"/>
        <w:spacing w:after="40"/>
      </w:pPr>
      <w:r>
        <w:t>Track run duration and throughput over several representative runs before making performance commitments.</w:t>
      </w:r>
    </w:p>
    <w:p>
      <w:pPr>
        <w:pStyle w:val="Heading1"/>
        <w:keepNext/>
      </w:pPr>
      <w:r>
        <w:t>15. Security and governance</w:t>
      </w:r>
    </w:p>
    <w:p>
      <w:pPr>
        <w:pStyle w:val="ListBullet"/>
        <w:spacing w:after="40"/>
      </w:pPr>
      <w:r>
        <w:t>Use least-privilege access for each SharePoint site, ADLS path, Databricks catalog/schema/object, Key Vault secret and PostgreSQL schema.</w:t>
      </w:r>
    </w:p>
    <w:p>
      <w:pPr>
        <w:pStyle w:val="ListBullet"/>
        <w:spacing w:after="40"/>
      </w:pPr>
      <w:r>
        <w:t>Use approved identities and secure network routes; validate tenant consent and required site permissions for both SharePoint sites.</w:t>
      </w:r>
    </w:p>
    <w:p>
      <w:pPr>
        <w:pStyle w:val="ListBullet"/>
        <w:spacing w:after="40"/>
      </w:pPr>
      <w:r>
        <w:t>Keep secrets out of source code, plain-text pipeline parameters, notebooks, metadata tables and logs.</w:t>
      </w:r>
    </w:p>
    <w:p>
      <w:pPr>
        <w:pStyle w:val="ListBullet"/>
        <w:spacing w:after="40"/>
      </w:pPr>
      <w:r>
        <w:t>Confirm sensitivity classification, retention, archival, deletion, masking and access auditing with the data owner.</w:t>
      </w:r>
    </w:p>
    <w:p>
      <w:pPr>
        <w:pStyle w:val="ListBullet"/>
        <w:spacing w:after="40"/>
      </w:pPr>
      <w:r>
        <w:t>Keep dev/test/prod configuration separate and promote code through version control and review.</w:t>
      </w:r>
    </w:p>
    <w:p>
      <w:pPr>
        <w:pStyle w:val="Heading1"/>
        <w:keepNext/>
      </w:pPr>
      <w:r>
        <w:t>16. Test plan and acceptance criteria</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20"/>
            </w:pPr>
            <w:r/>
            <w:r>
              <w:rPr>
                <w:rFonts w:ascii="Aptos" w:hAnsi="Aptos"/>
                <w:b/>
                <w:sz w:val="14"/>
              </w:rPr>
              <w:t>Test</w:t>
            </w:r>
          </w:p>
        </w:tc>
        <w:tc>
          <w:tcPr>
            <w:tcW w:type="dxa" w:w="5141"/>
            <w:vAlign w:val="center"/>
            <w:shd w:fill="D9EAF7"/>
          </w:tcPr>
          <w:p>
            <w:pPr>
              <w:spacing w:after="20"/>
            </w:pPr>
            <w:r/>
            <w:r>
              <w:rPr>
                <w:rFonts w:ascii="Aptos" w:hAnsi="Aptos"/>
                <w:b/>
                <w:sz w:val="14"/>
              </w:rPr>
              <w:t>Expected evidence</w:t>
            </w:r>
          </w:p>
        </w:tc>
      </w:tr>
      <w:tr>
        <w:tc>
          <w:tcPr>
            <w:tcW w:type="dxa" w:w="5141"/>
            <w:vAlign w:val="center"/>
          </w:tcPr>
          <w:p>
            <w:pPr>
              <w:spacing w:after="20"/>
            </w:pPr>
            <w:r/>
            <w:r>
              <w:rPr>
                <w:rFonts w:ascii="Aptos" w:hAnsi="Aptos"/>
                <w:b w:val="0"/>
                <w:sz w:val="14"/>
              </w:rPr>
              <w:t>Source inventory/contract</w:t>
            </w:r>
          </w:p>
        </w:tc>
        <w:tc>
          <w:tcPr>
            <w:tcW w:type="dxa" w:w="5141"/>
            <w:vAlign w:val="center"/>
          </w:tcPr>
          <w:p>
            <w:pPr>
              <w:spacing w:after="20"/>
            </w:pPr>
            <w:r/>
            <w:r>
              <w:rPr>
                <w:rFonts w:ascii="Aptos" w:hAnsi="Aptos"/>
                <w:b w:val="0"/>
                <w:sz w:val="14"/>
              </w:rPr>
              <w:t>All Databricks source views/tables and both SharePoint sites are listed; each distinct file type has a schema and mapping.</w:t>
            </w:r>
          </w:p>
        </w:tc>
      </w:tr>
      <w:tr>
        <w:tc>
          <w:tcPr>
            <w:tcW w:type="dxa" w:w="5141"/>
            <w:vAlign w:val="center"/>
          </w:tcPr>
          <w:p>
            <w:pPr>
              <w:spacing w:after="20"/>
            </w:pPr>
            <w:r/>
            <w:r>
              <w:rPr>
                <w:rFonts w:ascii="Aptos" w:hAnsi="Aptos"/>
                <w:b w:val="0"/>
                <w:sz w:val="14"/>
              </w:rPr>
              <w:t>SharePoint connectivity</w:t>
            </w:r>
          </w:p>
        </w:tc>
        <w:tc>
          <w:tcPr>
            <w:tcW w:type="dxa" w:w="5141"/>
            <w:vAlign w:val="center"/>
          </w:tcPr>
          <w:p>
            <w:pPr>
              <w:spacing w:after="20"/>
            </w:pPr>
            <w:r/>
            <w:r>
              <w:rPr>
                <w:rFonts w:ascii="Aptos" w:hAnsi="Aptos"/>
                <w:b w:val="0"/>
                <w:sz w:val="14"/>
              </w:rPr>
              <w:t>Site 1 and Site 2 are tested independently with approved permissions; only configured folders/patterns are read.</w:t>
            </w:r>
          </w:p>
        </w:tc>
      </w:tr>
      <w:tr>
        <w:tc>
          <w:tcPr>
            <w:tcW w:type="dxa" w:w="5141"/>
            <w:vAlign w:val="center"/>
          </w:tcPr>
          <w:p>
            <w:pPr>
              <w:spacing w:after="20"/>
            </w:pPr>
            <w:r/>
            <w:r>
              <w:rPr>
                <w:rFonts w:ascii="Aptos" w:hAnsi="Aptos"/>
                <w:b w:val="0"/>
                <w:sz w:val="14"/>
              </w:rPr>
              <w:t>File tests</w:t>
            </w:r>
          </w:p>
        </w:tc>
        <w:tc>
          <w:tcPr>
            <w:tcW w:type="dxa" w:w="5141"/>
            <w:vAlign w:val="center"/>
          </w:tcPr>
          <w:p>
            <w:pPr>
              <w:spacing w:after="20"/>
            </w:pPr>
            <w:r/>
            <w:r>
              <w:rPr>
                <w:rFonts w:ascii="Aptos" w:hAnsi="Aptos"/>
                <w:b w:val="0"/>
                <w:sz w:val="14"/>
              </w:rPr>
              <w:t>Valid, missing, empty, duplicate and malformed file scenarios have recorded results.</w:t>
            </w:r>
          </w:p>
        </w:tc>
      </w:tr>
      <w:tr>
        <w:tc>
          <w:tcPr>
            <w:tcW w:type="dxa" w:w="5141"/>
            <w:vAlign w:val="center"/>
          </w:tcPr>
          <w:p>
            <w:pPr>
              <w:spacing w:after="20"/>
            </w:pPr>
            <w:r/>
            <w:r>
              <w:rPr>
                <w:rFonts w:ascii="Aptos" w:hAnsi="Aptos"/>
                <w:b w:val="0"/>
                <w:sz w:val="14"/>
              </w:rPr>
              <w:t>Transformation tests</w:t>
            </w:r>
          </w:p>
        </w:tc>
        <w:tc>
          <w:tcPr>
            <w:tcW w:type="dxa" w:w="5141"/>
            <w:vAlign w:val="center"/>
          </w:tcPr>
          <w:p>
            <w:pPr>
              <w:spacing w:after="20"/>
            </w:pPr>
            <w:r/>
            <w:r>
              <w:rPr>
                <w:rFonts w:ascii="Aptos" w:hAnsi="Aptos"/>
                <w:b w:val="0"/>
                <w:sz w:val="14"/>
              </w:rPr>
              <w:t>Cleansing, casting, filtering, deduplication, joins and aggregation are tested against expected outputs.</w:t>
            </w:r>
          </w:p>
        </w:tc>
      </w:tr>
      <w:tr>
        <w:tc>
          <w:tcPr>
            <w:tcW w:type="dxa" w:w="5141"/>
            <w:vAlign w:val="center"/>
          </w:tcPr>
          <w:p>
            <w:pPr>
              <w:spacing w:after="20"/>
            </w:pPr>
            <w:r/>
            <w:r>
              <w:rPr>
                <w:rFonts w:ascii="Aptos" w:hAnsi="Aptos"/>
                <w:b w:val="0"/>
                <w:sz w:val="14"/>
              </w:rPr>
              <w:t>KPI tests</w:t>
            </w:r>
          </w:p>
        </w:tc>
        <w:tc>
          <w:tcPr>
            <w:tcW w:type="dxa" w:w="5141"/>
            <w:vAlign w:val="center"/>
          </w:tcPr>
          <w:p>
            <w:pPr>
              <w:spacing w:after="20"/>
            </w:pPr>
            <w:r/>
            <w:r>
              <w:rPr>
                <w:rFonts w:ascii="Aptos" w:hAnsi="Aptos"/>
                <w:b w:val="0"/>
                <w:sz w:val="14"/>
              </w:rPr>
              <w:t>Every KPI from the existing approved list maps to source inputs, Databricks implementation, target output and test case.</w:t>
            </w:r>
          </w:p>
        </w:tc>
      </w:tr>
      <w:tr>
        <w:tc>
          <w:tcPr>
            <w:tcW w:type="dxa" w:w="5141"/>
            <w:vAlign w:val="center"/>
          </w:tcPr>
          <w:p>
            <w:pPr>
              <w:spacing w:after="20"/>
            </w:pPr>
            <w:r/>
            <w:r>
              <w:rPr>
                <w:rFonts w:ascii="Aptos" w:hAnsi="Aptos"/>
                <w:b w:val="0"/>
                <w:sz w:val="14"/>
              </w:rPr>
              <w:t>Data-quality tests</w:t>
            </w:r>
          </w:p>
        </w:tc>
        <w:tc>
          <w:tcPr>
            <w:tcW w:type="dxa" w:w="5141"/>
            <w:vAlign w:val="center"/>
          </w:tcPr>
          <w:p>
            <w:pPr>
              <w:spacing w:after="20"/>
            </w:pPr>
            <w:r/>
            <w:r>
              <w:rPr>
                <w:rFonts w:ascii="Aptos" w:hAnsi="Aptos"/>
                <w:b w:val="0"/>
                <w:sz w:val="14"/>
              </w:rPr>
              <w:t>Null, duplicate, domain/range, referential and business rules are tested with defined thresholds and actions.</w:t>
            </w:r>
          </w:p>
        </w:tc>
      </w:tr>
      <w:tr>
        <w:tc>
          <w:tcPr>
            <w:tcW w:type="dxa" w:w="5141"/>
            <w:vAlign w:val="center"/>
          </w:tcPr>
          <w:p>
            <w:pPr>
              <w:spacing w:after="20"/>
            </w:pPr>
            <w:r/>
            <w:r>
              <w:rPr>
                <w:rFonts w:ascii="Aptos" w:hAnsi="Aptos"/>
                <w:b w:val="0"/>
                <w:sz w:val="14"/>
              </w:rPr>
              <w:t>PostgreSQL integration</w:t>
            </w:r>
          </w:p>
        </w:tc>
        <w:tc>
          <w:tcPr>
            <w:tcW w:type="dxa" w:w="5141"/>
            <w:vAlign w:val="center"/>
          </w:tcPr>
          <w:p>
            <w:pPr>
              <w:spacing w:after="20"/>
            </w:pPr>
            <w:r/>
            <w:r>
              <w:rPr>
                <w:rFonts w:ascii="Aptos" w:hAnsi="Aptos"/>
                <w:b w:val="0"/>
                <w:sz w:val="14"/>
              </w:rPr>
              <w:t>Target schema compatibility, staging, load method, keys, rollback/retry and final counts are verified.</w:t>
            </w:r>
          </w:p>
        </w:tc>
      </w:tr>
      <w:tr>
        <w:tc>
          <w:tcPr>
            <w:tcW w:type="dxa" w:w="5141"/>
            <w:vAlign w:val="center"/>
          </w:tcPr>
          <w:p>
            <w:pPr>
              <w:spacing w:after="20"/>
            </w:pPr>
            <w:r/>
            <w:r>
              <w:rPr>
                <w:rFonts w:ascii="Aptos" w:hAnsi="Aptos"/>
                <w:b w:val="0"/>
                <w:sz w:val="14"/>
              </w:rPr>
              <w:t>Idempotency/watermark</w:t>
            </w:r>
          </w:p>
        </w:tc>
        <w:tc>
          <w:tcPr>
            <w:tcW w:type="dxa" w:w="5141"/>
            <w:vAlign w:val="center"/>
          </w:tcPr>
          <w:p>
            <w:pPr>
              <w:spacing w:after="20"/>
            </w:pPr>
            <w:r/>
            <w:r>
              <w:rPr>
                <w:rFonts w:ascii="Aptos" w:hAnsi="Aptos"/>
                <w:b w:val="0"/>
                <w:sz w:val="14"/>
              </w:rPr>
              <w:t>Replaying a file/run does not duplicate target data; watermark advances only after success.</w:t>
            </w:r>
          </w:p>
        </w:tc>
      </w:tr>
      <w:tr>
        <w:tc>
          <w:tcPr>
            <w:tcW w:type="dxa" w:w="5141"/>
            <w:vAlign w:val="center"/>
          </w:tcPr>
          <w:p>
            <w:pPr>
              <w:spacing w:after="20"/>
            </w:pPr>
            <w:r/>
            <w:r>
              <w:rPr>
                <w:rFonts w:ascii="Aptos" w:hAnsi="Aptos"/>
                <w:b w:val="0"/>
                <w:sz w:val="14"/>
              </w:rPr>
              <w:t>Reconciliation</w:t>
            </w:r>
          </w:p>
        </w:tc>
        <w:tc>
          <w:tcPr>
            <w:tcW w:type="dxa" w:w="5141"/>
            <w:vAlign w:val="center"/>
          </w:tcPr>
          <w:p>
            <w:pPr>
              <w:spacing w:after="20"/>
            </w:pPr>
            <w:r/>
            <w:r>
              <w:rPr>
                <w:rFonts w:ascii="Aptos" w:hAnsi="Aptos"/>
                <w:b w:val="0"/>
                <w:sz w:val="14"/>
              </w:rPr>
              <w:t>Cross-layer counts and business totals match or documented exceptions are approved.</w:t>
            </w:r>
          </w:p>
        </w:tc>
      </w:tr>
      <w:tr>
        <w:tc>
          <w:tcPr>
            <w:tcW w:type="dxa" w:w="5141"/>
            <w:vAlign w:val="center"/>
          </w:tcPr>
          <w:p>
            <w:pPr>
              <w:spacing w:after="20"/>
            </w:pPr>
            <w:r/>
            <w:r>
              <w:rPr>
                <w:rFonts w:ascii="Aptos" w:hAnsi="Aptos"/>
                <w:b w:val="0"/>
                <w:sz w:val="14"/>
              </w:rPr>
              <w:t>Monitoring/recovery</w:t>
            </w:r>
          </w:p>
        </w:tc>
        <w:tc>
          <w:tcPr>
            <w:tcW w:type="dxa" w:w="5141"/>
            <w:vAlign w:val="center"/>
          </w:tcPr>
          <w:p>
            <w:pPr>
              <w:spacing w:after="20"/>
            </w:pPr>
            <w:r/>
            <w:r>
              <w:rPr>
                <w:rFonts w:ascii="Aptos" w:hAnsi="Aptos"/>
                <w:b w:val="0"/>
                <w:sz w:val="14"/>
              </w:rPr>
              <w:t>Alerts, run logs, restart and backfill procedures are demonstrated.</w:t>
            </w:r>
          </w:p>
        </w:tc>
      </w:tr>
      <w:tr>
        <w:tc>
          <w:tcPr>
            <w:tcW w:type="dxa" w:w="5141"/>
            <w:vAlign w:val="center"/>
          </w:tcPr>
          <w:p>
            <w:pPr>
              <w:spacing w:after="20"/>
            </w:pPr>
            <w:r/>
            <w:r>
              <w:rPr>
                <w:rFonts w:ascii="Aptos" w:hAnsi="Aptos"/>
                <w:b w:val="0"/>
                <w:sz w:val="14"/>
              </w:rPr>
              <w:t>Sign-off</w:t>
            </w:r>
          </w:p>
        </w:tc>
        <w:tc>
          <w:tcPr>
            <w:tcW w:type="dxa" w:w="5141"/>
            <w:vAlign w:val="center"/>
          </w:tcPr>
          <w:p>
            <w:pPr>
              <w:spacing w:after="20"/>
            </w:pPr>
            <w:r/>
            <w:r>
              <w:rPr>
                <w:rFonts w:ascii="Aptos" w:hAnsi="Aptos"/>
                <w:b w:val="0"/>
                <w:sz w:val="14"/>
              </w:rPr>
              <w:t>Technical and business stakeholders approve the design and open decisions are assigned.</w:t>
            </w:r>
          </w:p>
        </w:tc>
      </w:tr>
    </w:tbl>
    <w:p/>
    <w:p>
      <w:pPr>
        <w:pStyle w:val="Heading1"/>
        <w:keepNext/>
      </w:pPr>
      <w:r>
        <w:t>17. Open items required to baseline the LLD</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pPr>
              <w:spacing w:after="20"/>
            </w:pPr>
            <w:r/>
            <w:r>
              <w:rPr>
                <w:rFonts w:ascii="Aptos" w:hAnsi="Aptos"/>
                <w:b/>
                <w:sz w:val="14"/>
              </w:rPr>
              <w:t>ID</w:t>
            </w:r>
          </w:p>
        </w:tc>
        <w:tc>
          <w:tcPr>
            <w:tcW w:type="dxa" w:w="3427"/>
            <w:vAlign w:val="center"/>
            <w:shd w:fill="D9EAF7"/>
          </w:tcPr>
          <w:p>
            <w:pPr>
              <w:spacing w:after="20"/>
            </w:pPr>
            <w:r/>
            <w:r>
              <w:rPr>
                <w:rFonts w:ascii="Aptos" w:hAnsi="Aptos"/>
                <w:b/>
                <w:sz w:val="14"/>
              </w:rPr>
              <w:t>Required project value</w:t>
            </w:r>
          </w:p>
        </w:tc>
        <w:tc>
          <w:tcPr>
            <w:tcW w:type="dxa" w:w="3427"/>
            <w:vAlign w:val="center"/>
            <w:shd w:fill="D9EAF7"/>
          </w:tcPr>
          <w:p>
            <w:pPr>
              <w:spacing w:after="20"/>
            </w:pPr>
            <w:r/>
            <w:r>
              <w:rPr>
                <w:rFonts w:ascii="Aptos" w:hAnsi="Aptos"/>
                <w:b/>
                <w:sz w:val="14"/>
              </w:rPr>
              <w:t>Owner / status</w:t>
            </w:r>
          </w:p>
        </w:tc>
      </w:tr>
      <w:tr>
        <w:tc>
          <w:tcPr>
            <w:tcW w:type="dxa" w:w="3427"/>
            <w:vAlign w:val="center"/>
          </w:tcPr>
          <w:p>
            <w:pPr>
              <w:spacing w:after="20"/>
            </w:pPr>
            <w:r/>
            <w:r>
              <w:rPr>
                <w:rFonts w:ascii="Aptos" w:hAnsi="Aptos"/>
                <w:b w:val="0"/>
                <w:sz w:val="14"/>
              </w:rPr>
              <w:t>OI-01</w:t>
            </w:r>
          </w:p>
        </w:tc>
        <w:tc>
          <w:tcPr>
            <w:tcW w:type="dxa" w:w="3427"/>
            <w:vAlign w:val="center"/>
          </w:tcPr>
          <w:p>
            <w:pPr>
              <w:spacing w:after="20"/>
            </w:pPr>
            <w:r/>
            <w:r>
              <w:rPr>
                <w:rFonts w:ascii="Aptos" w:hAnsi="Aptos"/>
                <w:b w:val="0"/>
                <w:sz w:val="14"/>
              </w:rPr>
              <w:t>Exact SharePoint Site 1 URL, library/folder, file patterns and expected schedule.</w:t>
            </w:r>
          </w:p>
        </w:tc>
        <w:tc>
          <w:tcPr>
            <w:tcW w:type="dxa" w:w="3427"/>
            <w:vAlign w:val="center"/>
          </w:tcPr>
          <w:p>
            <w:pPr>
              <w:spacing w:after="20"/>
            </w:pPr>
            <w:r/>
            <w:r>
              <w:rPr>
                <w:rFonts w:ascii="Aptos" w:hAnsi="Aptos"/>
                <w:b w:val="0"/>
                <w:sz w:val="14"/>
              </w:rPr>
              <w:t>Source owner — Open</w:t>
            </w:r>
          </w:p>
        </w:tc>
      </w:tr>
      <w:tr>
        <w:tc>
          <w:tcPr>
            <w:tcW w:type="dxa" w:w="3427"/>
            <w:vAlign w:val="center"/>
          </w:tcPr>
          <w:p>
            <w:pPr>
              <w:spacing w:after="20"/>
            </w:pPr>
            <w:r/>
            <w:r>
              <w:rPr>
                <w:rFonts w:ascii="Aptos" w:hAnsi="Aptos"/>
                <w:b w:val="0"/>
                <w:sz w:val="14"/>
              </w:rPr>
              <w:t>OI-02</w:t>
            </w:r>
          </w:p>
        </w:tc>
        <w:tc>
          <w:tcPr>
            <w:tcW w:type="dxa" w:w="3427"/>
            <w:vAlign w:val="center"/>
          </w:tcPr>
          <w:p>
            <w:pPr>
              <w:spacing w:after="20"/>
            </w:pPr>
            <w:r/>
            <w:r>
              <w:rPr>
                <w:rFonts w:ascii="Aptos" w:hAnsi="Aptos"/>
                <w:b w:val="0"/>
                <w:sz w:val="14"/>
              </w:rPr>
              <w:t>Exact SharePoint Site 2 URL, library/folder, file patterns and expected schedule.</w:t>
            </w:r>
          </w:p>
        </w:tc>
        <w:tc>
          <w:tcPr>
            <w:tcW w:type="dxa" w:w="3427"/>
            <w:vAlign w:val="center"/>
          </w:tcPr>
          <w:p>
            <w:pPr>
              <w:spacing w:after="20"/>
            </w:pPr>
            <w:r/>
            <w:r>
              <w:rPr>
                <w:rFonts w:ascii="Aptos" w:hAnsi="Aptos"/>
                <w:b w:val="0"/>
                <w:sz w:val="14"/>
              </w:rPr>
              <w:t>Source owner — Open</w:t>
            </w:r>
          </w:p>
        </w:tc>
      </w:tr>
      <w:tr>
        <w:tc>
          <w:tcPr>
            <w:tcW w:type="dxa" w:w="3427"/>
            <w:vAlign w:val="center"/>
          </w:tcPr>
          <w:p>
            <w:pPr>
              <w:spacing w:after="20"/>
            </w:pPr>
            <w:r/>
            <w:r>
              <w:rPr>
                <w:rFonts w:ascii="Aptos" w:hAnsi="Aptos"/>
                <w:b w:val="0"/>
                <w:sz w:val="14"/>
              </w:rPr>
              <w:t>OI-03</w:t>
            </w:r>
          </w:p>
        </w:tc>
        <w:tc>
          <w:tcPr>
            <w:tcW w:type="dxa" w:w="3427"/>
            <w:vAlign w:val="center"/>
          </w:tcPr>
          <w:p>
            <w:pPr>
              <w:spacing w:after="20"/>
            </w:pPr>
            <w:r/>
            <w:r>
              <w:rPr>
                <w:rFonts w:ascii="Aptos" w:hAnsi="Aptos"/>
                <w:b w:val="0"/>
                <w:sz w:val="14"/>
              </w:rPr>
              <w:t>Inventory of all Databricks source views/tables and their refresh dependencies.</w:t>
            </w:r>
          </w:p>
        </w:tc>
        <w:tc>
          <w:tcPr>
            <w:tcW w:type="dxa" w:w="3427"/>
            <w:vAlign w:val="center"/>
          </w:tcPr>
          <w:p>
            <w:pPr>
              <w:spacing w:after="20"/>
            </w:pPr>
            <w:r/>
            <w:r>
              <w:rPr>
                <w:rFonts w:ascii="Aptos" w:hAnsi="Aptos"/>
                <w:b w:val="0"/>
                <w:sz w:val="14"/>
              </w:rPr>
              <w:t>Databricks owner — Open</w:t>
            </w:r>
          </w:p>
        </w:tc>
      </w:tr>
      <w:tr>
        <w:tc>
          <w:tcPr>
            <w:tcW w:type="dxa" w:w="3427"/>
            <w:vAlign w:val="center"/>
          </w:tcPr>
          <w:p>
            <w:pPr>
              <w:spacing w:after="20"/>
            </w:pPr>
            <w:r/>
            <w:r>
              <w:rPr>
                <w:rFonts w:ascii="Aptos" w:hAnsi="Aptos"/>
                <w:b w:val="0"/>
                <w:sz w:val="14"/>
              </w:rPr>
              <w:t>OI-04</w:t>
            </w:r>
          </w:p>
        </w:tc>
        <w:tc>
          <w:tcPr>
            <w:tcW w:type="dxa" w:w="3427"/>
            <w:vAlign w:val="center"/>
          </w:tcPr>
          <w:p>
            <w:pPr>
              <w:spacing w:after="20"/>
            </w:pPr>
            <w:r/>
            <w:r>
              <w:rPr>
                <w:rFonts w:ascii="Aptos" w:hAnsi="Aptos"/>
                <w:b w:val="0"/>
                <w:sz w:val="14"/>
              </w:rPr>
              <w:t>Source column schemas and source-to-target mappings for each dataset/file.</w:t>
            </w:r>
          </w:p>
        </w:tc>
        <w:tc>
          <w:tcPr>
            <w:tcW w:type="dxa" w:w="3427"/>
            <w:vAlign w:val="center"/>
          </w:tcPr>
          <w:p>
            <w:pPr>
              <w:spacing w:after="20"/>
            </w:pPr>
            <w:r/>
            <w:r>
              <w:rPr>
                <w:rFonts w:ascii="Aptos" w:hAnsi="Aptos"/>
                <w:b w:val="0"/>
                <w:sz w:val="14"/>
              </w:rPr>
              <w:t>Data engineering — Open</w:t>
            </w:r>
          </w:p>
        </w:tc>
      </w:tr>
      <w:tr>
        <w:tc>
          <w:tcPr>
            <w:tcW w:type="dxa" w:w="3427"/>
            <w:vAlign w:val="center"/>
          </w:tcPr>
          <w:p>
            <w:pPr>
              <w:spacing w:after="20"/>
            </w:pPr>
            <w:r/>
            <w:r>
              <w:rPr>
                <w:rFonts w:ascii="Aptos" w:hAnsi="Aptos"/>
                <w:b w:val="0"/>
                <w:sz w:val="14"/>
              </w:rPr>
              <w:t>OI-05</w:t>
            </w:r>
          </w:p>
        </w:tc>
        <w:tc>
          <w:tcPr>
            <w:tcW w:type="dxa" w:w="3427"/>
            <w:vAlign w:val="center"/>
          </w:tcPr>
          <w:p>
            <w:pPr>
              <w:spacing w:after="20"/>
            </w:pPr>
            <w:r/>
            <w:r>
              <w:rPr>
                <w:rFonts w:ascii="Aptos" w:hAnsi="Aptos"/>
                <w:b w:val="0"/>
                <w:sz w:val="14"/>
              </w:rPr>
              <w:t>Existing KPI list linked to source inputs, Databricks output objects and PostgreSQL target columns.</w:t>
            </w:r>
          </w:p>
        </w:tc>
        <w:tc>
          <w:tcPr>
            <w:tcW w:type="dxa" w:w="3427"/>
            <w:vAlign w:val="center"/>
          </w:tcPr>
          <w:p>
            <w:pPr>
              <w:spacing w:after="20"/>
            </w:pPr>
            <w:r/>
            <w:r>
              <w:rPr>
                <w:rFonts w:ascii="Aptos" w:hAnsi="Aptos"/>
                <w:b w:val="0"/>
                <w:sz w:val="14"/>
              </w:rPr>
              <w:t>KPI/business owner — Open</w:t>
            </w:r>
          </w:p>
        </w:tc>
      </w:tr>
      <w:tr>
        <w:tc>
          <w:tcPr>
            <w:tcW w:type="dxa" w:w="3427"/>
            <w:vAlign w:val="center"/>
          </w:tcPr>
          <w:p>
            <w:pPr>
              <w:spacing w:after="20"/>
            </w:pPr>
            <w:r/>
            <w:r>
              <w:rPr>
                <w:rFonts w:ascii="Aptos" w:hAnsi="Aptos"/>
                <w:b w:val="0"/>
                <w:sz w:val="14"/>
              </w:rPr>
              <w:t>OI-06</w:t>
            </w:r>
          </w:p>
        </w:tc>
        <w:tc>
          <w:tcPr>
            <w:tcW w:type="dxa" w:w="3427"/>
            <w:vAlign w:val="center"/>
          </w:tcPr>
          <w:p>
            <w:pPr>
              <w:spacing w:after="20"/>
            </w:pPr>
            <w:r/>
            <w:r>
              <w:rPr>
                <w:rFonts w:ascii="Aptos" w:hAnsi="Aptos"/>
                <w:b w:val="0"/>
                <w:sz w:val="14"/>
              </w:rPr>
              <w:t>PostgreSQL schemas/tables, business keys, constraints and per-table load strategy.</w:t>
            </w:r>
          </w:p>
        </w:tc>
        <w:tc>
          <w:tcPr>
            <w:tcW w:type="dxa" w:w="3427"/>
            <w:vAlign w:val="center"/>
          </w:tcPr>
          <w:p>
            <w:pPr>
              <w:spacing w:after="20"/>
            </w:pPr>
            <w:r/>
            <w:r>
              <w:rPr>
                <w:rFonts w:ascii="Aptos" w:hAnsi="Aptos"/>
                <w:b w:val="0"/>
                <w:sz w:val="14"/>
              </w:rPr>
              <w:t>PostgreSQL/API owner — Open</w:t>
            </w:r>
          </w:p>
        </w:tc>
      </w:tr>
      <w:tr>
        <w:tc>
          <w:tcPr>
            <w:tcW w:type="dxa" w:w="3427"/>
            <w:vAlign w:val="center"/>
          </w:tcPr>
          <w:p>
            <w:pPr>
              <w:spacing w:after="20"/>
            </w:pPr>
            <w:r/>
            <w:r>
              <w:rPr>
                <w:rFonts w:ascii="Aptos" w:hAnsi="Aptos"/>
                <w:b w:val="0"/>
                <w:sz w:val="14"/>
              </w:rPr>
              <w:t>OI-07</w:t>
            </w:r>
          </w:p>
        </w:tc>
        <w:tc>
          <w:tcPr>
            <w:tcW w:type="dxa" w:w="3427"/>
            <w:vAlign w:val="center"/>
          </w:tcPr>
          <w:p>
            <w:pPr>
              <w:spacing w:after="20"/>
            </w:pPr>
            <w:r/>
            <w:r>
              <w:rPr>
                <w:rFonts w:ascii="Aptos" w:hAnsi="Aptos"/>
                <w:b w:val="0"/>
                <w:sz w:val="14"/>
              </w:rPr>
              <w:t>Data-quality thresholds, warning/blocking rules and exception approvers.</w:t>
            </w:r>
          </w:p>
        </w:tc>
        <w:tc>
          <w:tcPr>
            <w:tcW w:type="dxa" w:w="3427"/>
            <w:vAlign w:val="center"/>
          </w:tcPr>
          <w:p>
            <w:pPr>
              <w:spacing w:after="20"/>
            </w:pPr>
            <w:r/>
            <w:r>
              <w:rPr>
                <w:rFonts w:ascii="Aptos" w:hAnsi="Aptos"/>
                <w:b w:val="0"/>
                <w:sz w:val="14"/>
              </w:rPr>
              <w:t>Business/data owner — Open</w:t>
            </w:r>
          </w:p>
        </w:tc>
      </w:tr>
      <w:tr>
        <w:tc>
          <w:tcPr>
            <w:tcW w:type="dxa" w:w="3427"/>
            <w:vAlign w:val="center"/>
          </w:tcPr>
          <w:p>
            <w:pPr>
              <w:spacing w:after="20"/>
            </w:pPr>
            <w:r/>
            <w:r>
              <w:rPr>
                <w:rFonts w:ascii="Aptos" w:hAnsi="Aptos"/>
                <w:b w:val="0"/>
                <w:sz w:val="14"/>
              </w:rPr>
              <w:t>OI-08</w:t>
            </w:r>
          </w:p>
        </w:tc>
        <w:tc>
          <w:tcPr>
            <w:tcW w:type="dxa" w:w="3427"/>
            <w:vAlign w:val="center"/>
          </w:tcPr>
          <w:p>
            <w:pPr>
              <w:spacing w:after="20"/>
            </w:pPr>
            <w:r/>
            <w:r>
              <w:rPr>
                <w:rFonts w:ascii="Aptos" w:hAnsi="Aptos"/>
                <w:b w:val="0"/>
                <w:sz w:val="14"/>
              </w:rPr>
              <w:t>Expected data volumes, schedule/SLA, retention and late-file tolerance.</w:t>
            </w:r>
          </w:p>
        </w:tc>
        <w:tc>
          <w:tcPr>
            <w:tcW w:type="dxa" w:w="3427"/>
            <w:vAlign w:val="center"/>
          </w:tcPr>
          <w:p>
            <w:pPr>
              <w:spacing w:after="20"/>
            </w:pPr>
            <w:r/>
            <w:r>
              <w:rPr>
                <w:rFonts w:ascii="Aptos" w:hAnsi="Aptos"/>
                <w:b w:val="0"/>
                <w:sz w:val="14"/>
              </w:rPr>
              <w:t>Operations/source owner — Open</w:t>
            </w:r>
          </w:p>
        </w:tc>
      </w:tr>
      <w:tr>
        <w:tc>
          <w:tcPr>
            <w:tcW w:type="dxa" w:w="3427"/>
            <w:vAlign w:val="center"/>
          </w:tcPr>
          <w:p>
            <w:pPr>
              <w:spacing w:after="20"/>
            </w:pPr>
            <w:r/>
            <w:r>
              <w:rPr>
                <w:rFonts w:ascii="Aptos" w:hAnsi="Aptos"/>
                <w:b w:val="0"/>
                <w:sz w:val="14"/>
              </w:rPr>
              <w:t>OI-09</w:t>
            </w:r>
          </w:p>
        </w:tc>
        <w:tc>
          <w:tcPr>
            <w:tcW w:type="dxa" w:w="3427"/>
            <w:vAlign w:val="center"/>
          </w:tcPr>
          <w:p>
            <w:pPr>
              <w:spacing w:after="20"/>
            </w:pPr>
            <w:r/>
            <w:r>
              <w:rPr>
                <w:rFonts w:ascii="Aptos" w:hAnsi="Aptos"/>
                <w:b w:val="0"/>
                <w:sz w:val="14"/>
              </w:rPr>
              <w:t>Approved authentication/network design and notification destinations.</w:t>
            </w:r>
          </w:p>
        </w:tc>
        <w:tc>
          <w:tcPr>
            <w:tcW w:type="dxa" w:w="3427"/>
            <w:vAlign w:val="center"/>
          </w:tcPr>
          <w:p>
            <w:pPr>
              <w:spacing w:after="20"/>
            </w:pPr>
            <w:r/>
            <w:r>
              <w:rPr>
                <w:rFonts w:ascii="Aptos" w:hAnsi="Aptos"/>
                <w:b w:val="0"/>
                <w:sz w:val="14"/>
              </w:rPr>
              <w:t>Platform/security/operations — Open</w:t>
            </w:r>
          </w:p>
        </w:tc>
      </w:tr>
    </w:tbl>
    <w:p/>
    <w:p>
      <w:pPr>
        <w:pStyle w:val="Heading1"/>
        <w:keepNext/>
      </w:pPr>
      <w:r>
        <w:t>Appendix A — Dataset/file inventory template</w:t>
      </w:r>
    </w:p>
    <w:p>
      <w:r>
        <w:t>Create one row for each Databricks view/table and one row for each distinct file type in each SharePoint site. A site may contain several file types; do not treat an entire site as a single schema.</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vAlign w:val="center"/>
            <w:shd w:fill="D9EAF7"/>
          </w:tcPr>
          <w:p>
            <w:pPr>
              <w:spacing w:after="20"/>
            </w:pPr>
            <w:r/>
            <w:r>
              <w:rPr>
                <w:rFonts w:ascii="Aptos" w:hAnsi="Aptos"/>
                <w:b/>
                <w:sz w:val="14"/>
              </w:rPr>
              <w:t>Source ID</w:t>
            </w:r>
          </w:p>
        </w:tc>
        <w:tc>
          <w:tcPr>
            <w:tcW w:type="dxa" w:w="1285"/>
            <w:vAlign w:val="center"/>
            <w:shd w:fill="D9EAF7"/>
          </w:tcPr>
          <w:p>
            <w:pPr>
              <w:spacing w:after="20"/>
            </w:pPr>
            <w:r/>
            <w:r>
              <w:rPr>
                <w:rFonts w:ascii="Aptos" w:hAnsi="Aptos"/>
                <w:b/>
                <w:sz w:val="14"/>
              </w:rPr>
              <w:t>Source type/site</w:t>
            </w:r>
          </w:p>
        </w:tc>
        <w:tc>
          <w:tcPr>
            <w:tcW w:type="dxa" w:w="1285"/>
            <w:vAlign w:val="center"/>
            <w:shd w:fill="D9EAF7"/>
          </w:tcPr>
          <w:p>
            <w:pPr>
              <w:spacing w:after="20"/>
            </w:pPr>
            <w:r/>
            <w:r>
              <w:rPr>
                <w:rFonts w:ascii="Aptos" w:hAnsi="Aptos"/>
                <w:b/>
                <w:sz w:val="14"/>
              </w:rPr>
              <w:t>Object, library or folder</w:t>
            </w:r>
          </w:p>
        </w:tc>
        <w:tc>
          <w:tcPr>
            <w:tcW w:type="dxa" w:w="1285"/>
            <w:vAlign w:val="center"/>
            <w:shd w:fill="D9EAF7"/>
          </w:tcPr>
          <w:p>
            <w:pPr>
              <w:spacing w:after="20"/>
            </w:pPr>
            <w:r/>
            <w:r>
              <w:rPr>
                <w:rFonts w:ascii="Aptos" w:hAnsi="Aptos"/>
                <w:b/>
                <w:sz w:val="14"/>
              </w:rPr>
              <w:t>File pattern/object name</w:t>
            </w:r>
          </w:p>
        </w:tc>
        <w:tc>
          <w:tcPr>
            <w:tcW w:type="dxa" w:w="1285"/>
            <w:vAlign w:val="center"/>
            <w:shd w:fill="D9EAF7"/>
          </w:tcPr>
          <w:p>
            <w:pPr>
              <w:spacing w:after="20"/>
            </w:pPr>
            <w:r/>
            <w:r>
              <w:rPr>
                <w:rFonts w:ascii="Aptos" w:hAnsi="Aptos"/>
                <w:b/>
                <w:sz w:val="14"/>
              </w:rPr>
              <w:t>Schema/contract ref</w:t>
            </w:r>
          </w:p>
        </w:tc>
        <w:tc>
          <w:tcPr>
            <w:tcW w:type="dxa" w:w="1285"/>
            <w:vAlign w:val="center"/>
            <w:shd w:fill="D9EAF7"/>
          </w:tcPr>
          <w:p>
            <w:pPr>
              <w:spacing w:after="20"/>
            </w:pPr>
            <w:r/>
            <w:r>
              <w:rPr>
                <w:rFonts w:ascii="Aptos" w:hAnsi="Aptos"/>
                <w:b/>
                <w:sz w:val="14"/>
              </w:rPr>
              <w:t>Target output</w:t>
            </w:r>
          </w:p>
        </w:tc>
        <w:tc>
          <w:tcPr>
            <w:tcW w:type="dxa" w:w="1285"/>
            <w:vAlign w:val="center"/>
            <w:shd w:fill="D9EAF7"/>
          </w:tcPr>
          <w:p>
            <w:pPr>
              <w:spacing w:after="20"/>
            </w:pPr>
            <w:r/>
            <w:r>
              <w:rPr>
                <w:rFonts w:ascii="Aptos" w:hAnsi="Aptos"/>
                <w:b/>
                <w:sz w:val="14"/>
              </w:rPr>
              <w:t>Owner</w:t>
            </w:r>
          </w:p>
        </w:tc>
        <w:tc>
          <w:tcPr>
            <w:tcW w:type="dxa" w:w="1285"/>
            <w:vAlign w:val="center"/>
            <w:shd w:fill="D9EAF7"/>
          </w:tcPr>
          <w:p>
            <w:pPr>
              <w:spacing w:after="20"/>
            </w:pPr>
            <w:r/>
            <w:r>
              <w:rPr>
                <w:rFonts w:ascii="Aptos" w:hAnsi="Aptos"/>
                <w:b/>
                <w:sz w:val="14"/>
              </w:rPr>
              <w:t>Status</w:t>
            </w:r>
          </w:p>
        </w:tc>
      </w:tr>
      <w:tr>
        <w:tc>
          <w:tcPr>
            <w:tcW w:type="dxa" w:w="1285"/>
            <w:vAlign w:val="center"/>
          </w:tcPr>
          <w:p>
            <w:pPr>
              <w:spacing w:after="20"/>
            </w:pPr>
            <w:r/>
            <w:r>
              <w:rPr>
                <w:rFonts w:ascii="Aptos" w:hAnsi="Aptos"/>
                <w:b w:val="0"/>
                <w:sz w:val="14"/>
              </w:rPr>
              <w:t>DBX_01</w:t>
            </w:r>
          </w:p>
        </w:tc>
        <w:tc>
          <w:tcPr>
            <w:tcW w:type="dxa" w:w="1285"/>
            <w:vAlign w:val="center"/>
          </w:tcPr>
          <w:p>
            <w:pPr>
              <w:spacing w:after="20"/>
            </w:pPr>
            <w:r/>
            <w:r>
              <w:rPr>
                <w:rFonts w:ascii="Aptos" w:hAnsi="Aptos"/>
                <w:b w:val="0"/>
                <w:sz w:val="14"/>
              </w:rPr>
              <w:t>Databricks</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catalog.schema.view_or_table</w:t>
            </w:r>
          </w:p>
        </w:tc>
        <w:tc>
          <w:tcPr>
            <w:tcW w:type="dxa" w:w="1285"/>
            <w:vAlign w:val="center"/>
          </w:tcPr>
          <w:p>
            <w:pPr>
              <w:spacing w:after="20"/>
            </w:pPr>
            <w:r/>
            <w:r>
              <w:rPr>
                <w:rFonts w:ascii="Aptos" w:hAnsi="Aptos"/>
                <w:b w:val="0"/>
                <w:sz w:val="14"/>
              </w:rPr>
              <w:t>SCHEMA_DBX_01</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Open</w:t>
            </w:r>
          </w:p>
        </w:tc>
      </w:tr>
      <w:tr>
        <w:tc>
          <w:tcPr>
            <w:tcW w:type="dxa" w:w="1285"/>
            <w:vAlign w:val="center"/>
          </w:tcPr>
          <w:p>
            <w:pPr>
              <w:spacing w:after="20"/>
            </w:pPr>
            <w:r/>
            <w:r>
              <w:rPr>
                <w:rFonts w:ascii="Aptos" w:hAnsi="Aptos"/>
                <w:b w:val="0"/>
                <w:sz w:val="14"/>
              </w:rPr>
              <w:t>SP_SITE_1</w:t>
            </w:r>
          </w:p>
        </w:tc>
        <w:tc>
          <w:tcPr>
            <w:tcW w:type="dxa" w:w="1285"/>
            <w:vAlign w:val="center"/>
          </w:tcPr>
          <w:p>
            <w:pPr>
              <w:spacing w:after="20"/>
            </w:pPr>
            <w:r/>
            <w:r>
              <w:rPr>
                <w:rFonts w:ascii="Aptos" w:hAnsi="Aptos"/>
                <w:b w:val="0"/>
                <w:sz w:val="14"/>
              </w:rPr>
              <w:t>SharePoint Site 1</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SCHEMA_SP1_01</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Open</w:t>
            </w:r>
          </w:p>
        </w:tc>
      </w:tr>
      <w:tr>
        <w:tc>
          <w:tcPr>
            <w:tcW w:type="dxa" w:w="1285"/>
            <w:vAlign w:val="center"/>
          </w:tcPr>
          <w:p>
            <w:pPr>
              <w:spacing w:after="20"/>
            </w:pPr>
            <w:r/>
            <w:r>
              <w:rPr>
                <w:rFonts w:ascii="Aptos" w:hAnsi="Aptos"/>
                <w:b w:val="0"/>
                <w:sz w:val="14"/>
              </w:rPr>
              <w:t>SP_SITE_2</w:t>
            </w:r>
          </w:p>
        </w:tc>
        <w:tc>
          <w:tcPr>
            <w:tcW w:type="dxa" w:w="1285"/>
            <w:vAlign w:val="center"/>
          </w:tcPr>
          <w:p>
            <w:pPr>
              <w:spacing w:after="20"/>
            </w:pPr>
            <w:r/>
            <w:r>
              <w:rPr>
                <w:rFonts w:ascii="Aptos" w:hAnsi="Aptos"/>
                <w:b w:val="0"/>
                <w:sz w:val="14"/>
              </w:rPr>
              <w:t>SharePoint Site 2</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SCHEMA_SP2_01</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Open</w:t>
            </w:r>
          </w:p>
        </w:tc>
      </w:tr>
    </w:tbl>
    <w:p/>
    <w:p>
      <w:pPr>
        <w:pStyle w:val="Heading1"/>
        <w:keepNext/>
      </w:pPr>
      <w:r>
        <w:t>Appendix B — Column mapping template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vAlign w:val="center"/>
            <w:shd w:fill="D9EAF7"/>
          </w:tcPr>
          <w:p>
            <w:pPr>
              <w:spacing w:after="20"/>
            </w:pPr>
            <w:r/>
            <w:r>
              <w:rPr>
                <w:rFonts w:ascii="Aptos" w:hAnsi="Aptos"/>
                <w:b/>
                <w:sz w:val="14"/>
              </w:rPr>
              <w:t>Source ID</w:t>
            </w:r>
          </w:p>
        </w:tc>
        <w:tc>
          <w:tcPr>
            <w:tcW w:type="dxa" w:w="1285"/>
            <w:vAlign w:val="center"/>
            <w:shd w:fill="D9EAF7"/>
          </w:tcPr>
          <w:p>
            <w:pPr>
              <w:spacing w:after="20"/>
            </w:pPr>
            <w:r/>
            <w:r>
              <w:rPr>
                <w:rFonts w:ascii="Aptos" w:hAnsi="Aptos"/>
                <w:b/>
                <w:sz w:val="14"/>
              </w:rPr>
              <w:t>Source column</w:t>
            </w:r>
          </w:p>
        </w:tc>
        <w:tc>
          <w:tcPr>
            <w:tcW w:type="dxa" w:w="1285"/>
            <w:vAlign w:val="center"/>
            <w:shd w:fill="D9EAF7"/>
          </w:tcPr>
          <w:p>
            <w:pPr>
              <w:spacing w:after="20"/>
            </w:pPr>
            <w:r/>
            <w:r>
              <w:rPr>
                <w:rFonts w:ascii="Aptos" w:hAnsi="Aptos"/>
                <w:b/>
                <w:sz w:val="14"/>
              </w:rPr>
              <w:t>Source type</w:t>
            </w:r>
          </w:p>
        </w:tc>
        <w:tc>
          <w:tcPr>
            <w:tcW w:type="dxa" w:w="1285"/>
            <w:vAlign w:val="center"/>
            <w:shd w:fill="D9EAF7"/>
          </w:tcPr>
          <w:p>
            <w:pPr>
              <w:spacing w:after="20"/>
            </w:pPr>
            <w:r/>
            <w:r>
              <w:rPr>
                <w:rFonts w:ascii="Aptos" w:hAnsi="Aptos"/>
                <w:b/>
                <w:sz w:val="14"/>
              </w:rPr>
              <w:t>Nullable</w:t>
            </w:r>
          </w:p>
        </w:tc>
        <w:tc>
          <w:tcPr>
            <w:tcW w:type="dxa" w:w="1285"/>
            <w:vAlign w:val="center"/>
            <w:shd w:fill="D9EAF7"/>
          </w:tcPr>
          <w:p>
            <w:pPr>
              <w:spacing w:after="20"/>
            </w:pPr>
            <w:r/>
            <w:r>
              <w:rPr>
                <w:rFonts w:ascii="Aptos" w:hAnsi="Aptos"/>
                <w:b/>
                <w:sz w:val="14"/>
              </w:rPr>
              <w:t>Transform rule</w:t>
            </w:r>
          </w:p>
        </w:tc>
        <w:tc>
          <w:tcPr>
            <w:tcW w:type="dxa" w:w="1285"/>
            <w:vAlign w:val="center"/>
            <w:shd w:fill="D9EAF7"/>
          </w:tcPr>
          <w:p>
            <w:pPr>
              <w:spacing w:after="20"/>
            </w:pPr>
            <w:r/>
            <w:r>
              <w:rPr>
                <w:rFonts w:ascii="Aptos" w:hAnsi="Aptos"/>
                <w:b/>
                <w:sz w:val="14"/>
              </w:rPr>
              <w:t>Target object.column</w:t>
            </w:r>
          </w:p>
        </w:tc>
        <w:tc>
          <w:tcPr>
            <w:tcW w:type="dxa" w:w="1285"/>
            <w:vAlign w:val="center"/>
            <w:shd w:fill="D9EAF7"/>
          </w:tcPr>
          <w:p>
            <w:pPr>
              <w:spacing w:after="20"/>
            </w:pPr>
            <w:r/>
            <w:r>
              <w:rPr>
                <w:rFonts w:ascii="Aptos" w:hAnsi="Aptos"/>
                <w:b/>
                <w:sz w:val="14"/>
              </w:rPr>
              <w:t>Target type</w:t>
            </w:r>
          </w:p>
        </w:tc>
        <w:tc>
          <w:tcPr>
            <w:tcW w:type="dxa" w:w="1285"/>
            <w:vAlign w:val="center"/>
            <w:shd w:fill="D9EAF7"/>
          </w:tcPr>
          <w:p>
            <w:pPr>
              <w:spacing w:after="20"/>
            </w:pPr>
            <w:r/>
            <w:r>
              <w:rPr>
                <w:rFonts w:ascii="Aptos" w:hAnsi="Aptos"/>
                <w:b/>
                <w:sz w:val="14"/>
              </w:rPr>
              <w:t>DQ rule</w:t>
            </w:r>
          </w:p>
        </w:tc>
      </w:tr>
      <w:tr>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r>
      <w:tr>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c>
          <w:tcPr>
            <w:tcW w:type="dxa" w:w="1285"/>
            <w:vAlign w:val="center"/>
          </w:tcPr>
          <w:p>
            <w:pPr>
              <w:spacing w:after="20"/>
            </w:pPr>
            <w:r/>
            <w:r>
              <w:rPr>
                <w:rFonts w:ascii="Aptos" w:hAnsi="Aptos"/>
                <w:b w:val="0"/>
                <w:sz w:val="14"/>
              </w:rPr>
              <w:t>TBD</w:t>
            </w:r>
          </w:p>
        </w:tc>
      </w:tr>
    </w:tbl>
    <w:p/>
    <w:p>
      <w:pPr>
        <w:pStyle w:val="Heading1"/>
        <w:keepNext/>
      </w:pPr>
      <w:r>
        <w:t>Appendix C — KPI traceability template</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vAlign w:val="center"/>
            <w:shd w:fill="D9EAF7"/>
          </w:tcPr>
          <w:p>
            <w:pPr>
              <w:spacing w:after="20"/>
            </w:pPr>
            <w:r/>
            <w:r>
              <w:rPr>
                <w:rFonts w:ascii="Aptos" w:hAnsi="Aptos"/>
                <w:b/>
                <w:sz w:val="14"/>
              </w:rPr>
              <w:t>Existing KPI ID/name</w:t>
            </w:r>
          </w:p>
        </w:tc>
        <w:tc>
          <w:tcPr>
            <w:tcW w:type="dxa" w:w="1469"/>
            <w:vAlign w:val="center"/>
            <w:shd w:fill="D9EAF7"/>
          </w:tcPr>
          <w:p>
            <w:pPr>
              <w:spacing w:after="20"/>
            </w:pPr>
            <w:r/>
            <w:r>
              <w:rPr>
                <w:rFonts w:ascii="Aptos" w:hAnsi="Aptos"/>
                <w:b/>
                <w:sz w:val="14"/>
              </w:rPr>
              <w:t>Source inputs</w:t>
            </w:r>
          </w:p>
        </w:tc>
        <w:tc>
          <w:tcPr>
            <w:tcW w:type="dxa" w:w="1469"/>
            <w:vAlign w:val="center"/>
            <w:shd w:fill="D9EAF7"/>
          </w:tcPr>
          <w:p>
            <w:pPr>
              <w:spacing w:after="20"/>
            </w:pPr>
            <w:r/>
            <w:r>
              <w:rPr>
                <w:rFonts w:ascii="Aptos" w:hAnsi="Aptos"/>
                <w:b/>
                <w:sz w:val="14"/>
              </w:rPr>
              <w:t>Databricks object / logic ref</w:t>
            </w:r>
          </w:p>
        </w:tc>
        <w:tc>
          <w:tcPr>
            <w:tcW w:type="dxa" w:w="1469"/>
            <w:vAlign w:val="center"/>
            <w:shd w:fill="D9EAF7"/>
          </w:tcPr>
          <w:p>
            <w:pPr>
              <w:spacing w:after="20"/>
            </w:pPr>
            <w:r/>
            <w:r>
              <w:rPr>
                <w:rFonts w:ascii="Aptos" w:hAnsi="Aptos"/>
                <w:b/>
                <w:sz w:val="14"/>
              </w:rPr>
              <w:t>Grain</w:t>
            </w:r>
          </w:p>
        </w:tc>
        <w:tc>
          <w:tcPr>
            <w:tcW w:type="dxa" w:w="1469"/>
            <w:vAlign w:val="center"/>
            <w:shd w:fill="D9EAF7"/>
          </w:tcPr>
          <w:p>
            <w:pPr>
              <w:spacing w:after="20"/>
            </w:pPr>
            <w:r/>
            <w:r>
              <w:rPr>
                <w:rFonts w:ascii="Aptos" w:hAnsi="Aptos"/>
                <w:b/>
                <w:sz w:val="14"/>
              </w:rPr>
              <w:t>PostgreSQL target column</w:t>
            </w:r>
          </w:p>
        </w:tc>
        <w:tc>
          <w:tcPr>
            <w:tcW w:type="dxa" w:w="1469"/>
            <w:vAlign w:val="center"/>
            <w:shd w:fill="D9EAF7"/>
          </w:tcPr>
          <w:p>
            <w:pPr>
              <w:spacing w:after="20"/>
            </w:pPr>
            <w:r/>
            <w:r>
              <w:rPr>
                <w:rFonts w:ascii="Aptos" w:hAnsi="Aptos"/>
                <w:b/>
                <w:sz w:val="14"/>
              </w:rPr>
              <w:t>Test / baseline</w:t>
            </w:r>
          </w:p>
        </w:tc>
        <w:tc>
          <w:tcPr>
            <w:tcW w:type="dxa" w:w="1469"/>
            <w:vAlign w:val="center"/>
            <w:shd w:fill="D9EAF7"/>
          </w:tcPr>
          <w:p>
            <w:pPr>
              <w:spacing w:after="20"/>
            </w:pPr>
            <w:r/>
            <w:r>
              <w:rPr>
                <w:rFonts w:ascii="Aptos" w:hAnsi="Aptos"/>
                <w:b/>
                <w:sz w:val="14"/>
              </w:rPr>
              <w:t>Approval</w:t>
            </w:r>
          </w:p>
        </w:tc>
      </w:tr>
      <w:tr>
        <w:tc>
          <w:tcPr>
            <w:tcW w:type="dxa" w:w="1469"/>
            <w:vAlign w:val="center"/>
          </w:tcPr>
          <w:p>
            <w:pPr>
              <w:spacing w:after="20"/>
            </w:pPr>
            <w:r/>
            <w:r>
              <w:rPr>
                <w:rFonts w:ascii="Aptos" w:hAnsi="Aptos"/>
                <w:b w:val="0"/>
                <w:sz w:val="14"/>
              </w:rPr>
              <w:t>Copy from approved KPI list</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r>
      <w:tr>
        <w:tc>
          <w:tcPr>
            <w:tcW w:type="dxa" w:w="1469"/>
            <w:vAlign w:val="center"/>
          </w:tcPr>
          <w:p>
            <w:pPr>
              <w:spacing w:after="20"/>
            </w:pPr>
            <w:r/>
            <w:r>
              <w:rPr>
                <w:rFonts w:ascii="Aptos" w:hAnsi="Aptos"/>
                <w:b w:val="0"/>
                <w:sz w:val="14"/>
              </w:rPr>
              <w:t>Copy from approved KPI list</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c>
          <w:tcPr>
            <w:tcW w:type="dxa" w:w="1469"/>
            <w:vAlign w:val="center"/>
          </w:tcPr>
          <w:p>
            <w:pPr>
              <w:spacing w:after="20"/>
            </w:pPr>
            <w:r/>
            <w:r>
              <w:rPr>
                <w:rFonts w:ascii="Aptos" w:hAnsi="Aptos"/>
                <w:b w:val="0"/>
                <w:sz w:val="14"/>
              </w:rPr>
              <w:t>TBD</w:t>
            </w:r>
          </w:p>
        </w:tc>
      </w:tr>
    </w:tbl>
    <w:p/>
    <w:p>
      <w:pPr>
        <w:pStyle w:val="Heading1"/>
        <w:keepNext/>
      </w:pPr>
      <w:r>
        <w:t>Appendix D — Example run control logic</w:t>
      </w:r>
    </w:p>
    <w:p>
      <w:r>
        <w:rPr>
          <w:rFonts w:ascii="Consolas" w:hAnsi="Consolas"/>
          <w:sz w:val="16"/>
        </w:rPr>
        <w:t>run_id = create_run_record()</w:t>
        <w:br/>
        <w:br/>
        <w:t>for source in [databricks_sources, sharepoint_site_1, sharepoint_site_2]:</w:t>
        <w:br/>
        <w:t xml:space="preserve">    discover_or_read_source_using_its_own_config(source)</w:t>
        <w:br/>
        <w:t xml:space="preserve">    validate_source_schema_and_freshness(source)</w:t>
        <w:br/>
        <w:t xml:space="preserve">    write_source_audit_record(run_id, source)</w:t>
        <w:br/>
        <w:br/>
        <w:t>target_df = run_databricks_transformations_and_existing_kpi_logic(run_id)</w:t>
        <w:br/>
        <w:t>dq_results = run_configured_data_quality_checks(target_df)</w:t>
        <w:br/>
        <w:br/>
        <w:t>if blocking_check_failed(dq_results):</w:t>
        <w:br/>
        <w:t xml:space="preserve">    record_failure_and_notify(run_id)</w:t>
        <w:br/>
        <w:t>else:</w:t>
        <w:br/>
        <w:t xml:space="preserve">    write_to_postgres_staging(target_df, run_id)</w:t>
        <w:br/>
        <w:t xml:space="preserve">    validate_staging_and_apply_configured_load_strategy(run_id)</w:t>
        <w:br/>
        <w:t xml:space="preserve">    reconciliation = reconcile_postgres_with_databricks_output(run_id)</w:t>
        <w:br/>
        <w:br/>
        <w:t xml:space="preserve">    if reconciliation.passed:</w:t>
        <w:br/>
        <w:t xml:space="preserve">        mark_run_success(run_id)</w:t>
        <w:br/>
        <w:t xml:space="preserve">        advance_watermark_if_applicable(run_id)</w:t>
        <w:br/>
        <w:t xml:space="preserve">    else:</w:t>
        <w:br/>
        <w:t xml:space="preserve">        mark_reconciliation_failed_and_notify(run_id)</w:t>
      </w:r>
    </w:p>
    <w:p>
      <w:pPr>
        <w:pStyle w:val="Heading1"/>
        <w:keepNext/>
      </w:pPr>
      <w:r>
        <w:t>Appendix E — Operational runbook</w:t>
      </w:r>
    </w:p>
    <w:p>
      <w:pPr>
        <w:pStyle w:val="ListBullet"/>
        <w:spacing w:after="40"/>
      </w:pPr>
      <w:r>
        <w:t>Find the ADF run_id and identify the first failing activity.</w:t>
      </w:r>
    </w:p>
    <w:p>
      <w:pPr>
        <w:pStyle w:val="ListBullet"/>
        <w:spacing w:after="40"/>
      </w:pPr>
      <w:r>
        <w:t>Check the relevant source configuration: Databricks object or the specific SharePoint site/file.</w:t>
      </w:r>
    </w:p>
    <w:p>
      <w:pPr>
        <w:pStyle w:val="ListBullet"/>
        <w:spacing w:after="40"/>
      </w:pPr>
      <w:r>
        <w:t>Review file audit, schema validation, Databricks job logs and data-quality results.</w:t>
      </w:r>
    </w:p>
    <w:p>
      <w:pPr>
        <w:pStyle w:val="ListBullet"/>
        <w:spacing w:after="40"/>
      </w:pPr>
      <w:r>
        <w:t>Check ADLS landing/archive availability and confirm the raw file has not been overwritten unexpectedly.</w:t>
      </w:r>
    </w:p>
    <w:p>
      <w:pPr>
        <w:pStyle w:val="ListBullet"/>
        <w:spacing w:after="40"/>
      </w:pPr>
      <w:r>
        <w:t>Check PostgreSQL staging/target state and whether a transaction committed before retrying.</w:t>
      </w:r>
    </w:p>
    <w:p>
      <w:pPr>
        <w:pStyle w:val="ListBullet"/>
        <w:spacing w:after="40"/>
      </w:pPr>
      <w:r>
        <w:t>Review reconciliation and watermark state before restarting.</w:t>
      </w:r>
    </w:p>
    <w:p>
      <w:pPr>
        <w:pStyle w:val="ListBullet"/>
        <w:spacing w:after="40"/>
      </w:pPr>
      <w:r>
        <w:t>Replay only the failed source/file/range using the approved idempotent procedure.</w:t>
      </w:r>
    </w:p>
    <w:p>
      <w:pPr>
        <w:pStyle w:val="ListBullet"/>
        <w:spacing w:after="40"/>
      </w:pPr>
      <w:r>
        <w:t>Document root cause, resolution, affected period and approver; close only after reconciliation passes.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Pipeline LLD | Version 1.0 | Draft for technical and business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DATA ENGINEERING | DATA PIPELINE LLD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