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EAB3" w14:textId="77777777" w:rsidR="00350C02" w:rsidRDefault="00000000">
      <w:pPr>
        <w:pStyle w:val="Title"/>
      </w:pPr>
      <w:r>
        <w:t>ADF Repository Change – Quick Impact Summary</w:t>
      </w:r>
    </w:p>
    <w:p w14:paraId="37A4BE9A" w14:textId="603E1C04" w:rsidR="00350C02" w:rsidRDefault="00000000">
      <w:pPr>
        <w:spacing w:after="160"/>
      </w:pPr>
      <w:r>
        <w:rPr>
          <w:i/>
          <w:sz w:val="18"/>
        </w:rPr>
        <w:t>Scenario: Multiple projects use the same ADF instance; DEV, UAT and PROD have separate ADF instance</w:t>
      </w:r>
      <w:r w:rsidR="0073647C">
        <w:rPr>
          <w:i/>
          <w:sz w:val="18"/>
        </w:rPr>
        <w:t>.</w:t>
      </w:r>
    </w:p>
    <w:p w14:paraId="4630F13D" w14:textId="77777777" w:rsidR="00350C02" w:rsidRDefault="00000000">
      <w:pPr>
        <w:pStyle w:val="Heading1"/>
      </w:pPr>
      <w:r>
        <w:t>What happens if the repository is changed?</w:t>
      </w:r>
    </w:p>
    <w:p w14:paraId="5EA37C16" w14:textId="77777777" w:rsidR="00350C02" w:rsidRDefault="00000000">
      <w:pPr>
        <w:pStyle w:val="ListBullet"/>
        <w:spacing w:after="60"/>
      </w:pPr>
      <w:r>
        <w:rPr>
          <w:b/>
        </w:rPr>
        <w:t>Same ADF instance:</w:t>
      </w:r>
      <w:r>
        <w:t xml:space="preserve"> The Git configuration applies to the whole factory, not to one individual project.</w:t>
      </w:r>
    </w:p>
    <w:p w14:paraId="40DC4A68" w14:textId="77777777" w:rsidR="00350C02" w:rsidRDefault="00000000">
      <w:pPr>
        <w:pStyle w:val="ListBullet"/>
        <w:spacing w:after="60"/>
      </w:pPr>
      <w:r>
        <w:rPr>
          <w:b/>
        </w:rPr>
        <w:t>Other projects on that factory:</w:t>
      </w:r>
      <w:r>
        <w:t xml:space="preserve"> Their Git-based development workflow can be affected too. The new repository must contain or account for the resources that need to remain managed.</w:t>
      </w:r>
    </w:p>
    <w:p w14:paraId="5E1F5FA1" w14:textId="77777777" w:rsidR="00350C02" w:rsidRDefault="00000000">
      <w:pPr>
        <w:pStyle w:val="ListBullet"/>
        <w:spacing w:after="60"/>
      </w:pPr>
      <w:r>
        <w:rPr>
          <w:b/>
        </w:rPr>
        <w:t>DEV vs UAT/PROD:</w:t>
      </w:r>
      <w:r>
        <w:t xml:space="preserve"> Changing the repository in DEV does not automatically change the Git configuration in UAT or PROD; those are separate factory instances.</w:t>
      </w:r>
    </w:p>
    <w:p w14:paraId="74A49A3F" w14:textId="77777777" w:rsidR="00350C02" w:rsidRDefault="00000000">
      <w:pPr>
        <w:pStyle w:val="ListBullet"/>
        <w:spacing w:after="60"/>
      </w:pPr>
      <w:r>
        <w:rPr>
          <w:b/>
        </w:rPr>
        <w:t>Running/live pipelines:</w:t>
      </w:r>
      <w:r>
        <w:t xml:space="preserve"> A repository switch alone does not automatically deploy new pipeline code to live environments. Publishing or running CI/CD afterward can change deployed resources.</w:t>
      </w:r>
    </w:p>
    <w:p w14:paraId="69BE5F44" w14:textId="77777777" w:rsidR="00350C02" w:rsidRDefault="00000000">
      <w:pPr>
        <w:pStyle w:val="ListBullet"/>
        <w:spacing w:after="60"/>
      </w:pPr>
      <w:r>
        <w:rPr>
          <w:b/>
        </w:rPr>
        <w:t>Release pipeline risk:</w:t>
      </w:r>
      <w:r>
        <w:t xml:space="preserve"> If CI/CD expects the old repository or publish branch, releases may fail or use outdated artifacts until updated.</w:t>
      </w:r>
    </w:p>
    <w:p w14:paraId="4759A19F" w14:textId="77777777" w:rsidR="00350C02" w:rsidRDefault="00000000">
      <w:pPr>
        <w:pStyle w:val="Heading1"/>
      </w:pPr>
      <w:r>
        <w:t>Pros and cons</w:t>
      </w:r>
    </w:p>
    <w:tbl>
      <w:tblPr>
        <w:tblStyle w:val="TableGrid"/>
        <w:tblW w:w="0" w:type="auto"/>
        <w:tblLook w:val="04A0" w:firstRow="1" w:lastRow="0" w:firstColumn="1" w:lastColumn="0" w:noHBand="0" w:noVBand="1"/>
      </w:tblPr>
      <w:tblGrid>
        <w:gridCol w:w="5112"/>
        <w:gridCol w:w="5112"/>
      </w:tblGrid>
      <w:tr w:rsidR="00350C02" w14:paraId="52F68DA8" w14:textId="77777777">
        <w:tc>
          <w:tcPr>
            <w:tcW w:w="5112" w:type="dxa"/>
            <w:shd w:val="clear" w:color="auto" w:fill="12304A"/>
          </w:tcPr>
          <w:p w14:paraId="549A3C82" w14:textId="77777777" w:rsidR="00350C02" w:rsidRDefault="00000000">
            <w:r>
              <w:rPr>
                <w:b/>
                <w:color w:val="FFFFFF"/>
                <w:sz w:val="19"/>
              </w:rPr>
              <w:t>Pros</w:t>
            </w:r>
          </w:p>
        </w:tc>
        <w:tc>
          <w:tcPr>
            <w:tcW w:w="5112" w:type="dxa"/>
            <w:shd w:val="clear" w:color="auto" w:fill="12304A"/>
          </w:tcPr>
          <w:p w14:paraId="3C1028B5" w14:textId="77777777" w:rsidR="00350C02" w:rsidRDefault="00000000">
            <w:r>
              <w:rPr>
                <w:b/>
                <w:color w:val="FFFFFF"/>
                <w:sz w:val="19"/>
              </w:rPr>
              <w:t>Cons / Risks</w:t>
            </w:r>
          </w:p>
        </w:tc>
      </w:tr>
      <w:tr w:rsidR="00350C02" w14:paraId="0D82F438" w14:textId="77777777">
        <w:tc>
          <w:tcPr>
            <w:tcW w:w="5112" w:type="dxa"/>
          </w:tcPr>
          <w:p w14:paraId="57A54111" w14:textId="77777777" w:rsidR="00350C02" w:rsidRDefault="00000000">
            <w:pPr>
              <w:spacing w:after="40"/>
            </w:pPr>
            <w:r>
              <w:rPr>
                <w:sz w:val="18"/>
              </w:rPr>
              <w:t>Standardizes repository and branching.</w:t>
            </w:r>
          </w:p>
        </w:tc>
        <w:tc>
          <w:tcPr>
            <w:tcW w:w="5112" w:type="dxa"/>
          </w:tcPr>
          <w:p w14:paraId="79BE1D9C" w14:textId="77777777" w:rsidR="00350C02" w:rsidRDefault="00000000">
            <w:pPr>
              <w:spacing w:after="40"/>
            </w:pPr>
            <w:r>
              <w:rPr>
                <w:sz w:val="18"/>
              </w:rPr>
              <w:t>Can disrupt Git workflow for every project sharing the factory.</w:t>
            </w:r>
          </w:p>
        </w:tc>
      </w:tr>
      <w:tr w:rsidR="00350C02" w14:paraId="597C72D9" w14:textId="77777777">
        <w:tc>
          <w:tcPr>
            <w:tcW w:w="5112" w:type="dxa"/>
            <w:shd w:val="clear" w:color="auto" w:fill="F1F5F8"/>
          </w:tcPr>
          <w:p w14:paraId="73DFB646" w14:textId="77777777" w:rsidR="00350C02" w:rsidRDefault="00000000">
            <w:pPr>
              <w:spacing w:after="40"/>
            </w:pPr>
            <w:r>
              <w:rPr>
                <w:sz w:val="18"/>
              </w:rPr>
              <w:t>Can consolidate code and governance.</w:t>
            </w:r>
          </w:p>
        </w:tc>
        <w:tc>
          <w:tcPr>
            <w:tcW w:w="5112" w:type="dxa"/>
            <w:shd w:val="clear" w:color="auto" w:fill="F1F5F8"/>
          </w:tcPr>
          <w:p w14:paraId="68608287" w14:textId="77777777" w:rsidR="00350C02" w:rsidRDefault="00000000">
            <w:pPr>
              <w:spacing w:after="40"/>
            </w:pPr>
            <w:r>
              <w:rPr>
                <w:sz w:val="18"/>
              </w:rPr>
              <w:t>Missing resources, branch mismatch or permissions can cause issues.</w:t>
            </w:r>
          </w:p>
        </w:tc>
      </w:tr>
      <w:tr w:rsidR="00350C02" w14:paraId="7E97B757" w14:textId="77777777">
        <w:tc>
          <w:tcPr>
            <w:tcW w:w="5112" w:type="dxa"/>
          </w:tcPr>
          <w:p w14:paraId="164EC7B3" w14:textId="77777777" w:rsidR="00350C02" w:rsidRDefault="00000000">
            <w:pPr>
              <w:spacing w:after="40"/>
            </w:pPr>
            <w:r>
              <w:rPr>
                <w:sz w:val="18"/>
              </w:rPr>
              <w:t>Can align CI/CD practices.</w:t>
            </w:r>
          </w:p>
        </w:tc>
        <w:tc>
          <w:tcPr>
            <w:tcW w:w="5112" w:type="dxa"/>
          </w:tcPr>
          <w:p w14:paraId="674FE1D6" w14:textId="77777777" w:rsidR="00350C02" w:rsidRDefault="00000000">
            <w:pPr>
              <w:spacing w:after="40"/>
            </w:pPr>
            <w:r>
              <w:rPr>
                <w:sz w:val="18"/>
              </w:rPr>
              <w:t>Release pipelines may need updating; deployment can affect target environments.</w:t>
            </w:r>
          </w:p>
        </w:tc>
      </w:tr>
    </w:tbl>
    <w:p w14:paraId="6694FD61" w14:textId="500A21A0" w:rsidR="0073647C" w:rsidRPr="0073647C" w:rsidRDefault="0073647C" w:rsidP="0073647C">
      <w:pPr>
        <w:pStyle w:val="Heading1"/>
      </w:pPr>
      <w:r w:rsidRPr="0073647C">
        <w:rPr>
          <w:lang w:val="en-IN"/>
        </w:rPr>
        <w:t>Main risk when multiple projects share one ADF</w:t>
      </w:r>
    </w:p>
    <w:p w14:paraId="7CC95C2F" w14:textId="77777777" w:rsidR="0073647C" w:rsidRPr="0073647C" w:rsidRDefault="0073647C" w:rsidP="0073647C">
      <w:pPr>
        <w:spacing w:before="120"/>
        <w:rPr>
          <w:lang w:val="en-IN"/>
        </w:rPr>
      </w:pPr>
      <w:r w:rsidRPr="0073647C">
        <w:rPr>
          <w:b/>
          <w:bCs/>
          <w:lang w:val="en-IN"/>
        </w:rPr>
        <w:t xml:space="preserve">A repository switch is not project-specific. </w:t>
      </w:r>
      <w:r w:rsidRPr="0073647C">
        <w:rPr>
          <w:lang w:val="en-IN"/>
        </w:rPr>
        <w:t>If Project A and Project B use the same ADF factory, both teams' Git workflows can be affected. Do not switch until the new repo has the required resources and the current work, branch settings and deployment source have been checked.</w:t>
      </w:r>
    </w:p>
    <w:p w14:paraId="13D43FB8" w14:textId="537DD8FD" w:rsidR="00350C02" w:rsidRDefault="00350C02">
      <w:pPr>
        <w:spacing w:before="120"/>
      </w:pPr>
    </w:p>
    <w:sectPr w:rsidR="00350C02"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20531">
    <w:abstractNumId w:val="8"/>
  </w:num>
  <w:num w:numId="2" w16cid:durableId="1778452602">
    <w:abstractNumId w:val="6"/>
  </w:num>
  <w:num w:numId="3" w16cid:durableId="1206717699">
    <w:abstractNumId w:val="5"/>
  </w:num>
  <w:num w:numId="4" w16cid:durableId="1374501221">
    <w:abstractNumId w:val="4"/>
  </w:num>
  <w:num w:numId="5" w16cid:durableId="637420260">
    <w:abstractNumId w:val="7"/>
  </w:num>
  <w:num w:numId="6" w16cid:durableId="1940722061">
    <w:abstractNumId w:val="3"/>
  </w:num>
  <w:num w:numId="7" w16cid:durableId="969671184">
    <w:abstractNumId w:val="2"/>
  </w:num>
  <w:num w:numId="8" w16cid:durableId="181670733">
    <w:abstractNumId w:val="1"/>
  </w:num>
  <w:num w:numId="9" w16cid:durableId="1706250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C02"/>
    <w:rsid w:val="0073647C"/>
    <w:rsid w:val="00AA1D8D"/>
    <w:rsid w:val="00B268F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68FDD"/>
  <w14:defaultImageDpi w14:val="300"/>
  <w15:docId w15:val="{8635CBBE-F9F4-4E58-8AAC-B499C0CF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6B8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gorade</cp:lastModifiedBy>
  <cp:revision>2</cp:revision>
  <dcterms:created xsi:type="dcterms:W3CDTF">2013-12-23T23:15:00Z</dcterms:created>
  <dcterms:modified xsi:type="dcterms:W3CDTF">2026-10-19T12:39:00Z</dcterms:modified>
  <cp:category/>
</cp:coreProperties>
</file>