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6"/>
        </w:rPr>
        <w:t>SharePoint File Change Detection</w:t>
        <w:br/>
        <w:t>and ADF Pipeline Triggering</w:t>
      </w:r>
    </w:p>
    <w:p>
      <w:pPr>
        <w:jc w:val="center"/>
      </w:pPr>
      <w:r>
        <w:rPr>
          <w:i/>
          <w:sz w:val="20"/>
        </w:rPr>
        <w:t>Simple options comparison, pros and cons, costs, and infrastructure</w:t>
      </w:r>
    </w:p>
    <w:p>
      <w:pPr>
        <w:pStyle w:val="Heading1"/>
      </w:pPr>
      <w:r>
        <w:t>1. Business requirement</w:t>
      </w:r>
    </w:p>
    <w:p>
      <w:r>
        <w:t>SharePoint is the source system. Files may arrive monthly, but the exact arrival time is not fixed. The solution must detect a new file or a changed existing file in the required SharePoint document library/folder and start the Azure Data Factory (ADF) pipeline without waiting for a manually chosen run time.</w:t>
      </w:r>
    </w:p>
    <w:p>
      <w:pPr>
        <w:pStyle w:val="ListBullet"/>
        <w:spacing w:after="40"/>
      </w:pPr>
      <w:r>
        <w:t>Monitor only the agreed SharePoint site, document library, and folder where possible.</w:t>
      </w:r>
    </w:p>
    <w:p>
      <w:pPr>
        <w:pStyle w:val="ListBullet"/>
        <w:spacing w:after="40"/>
      </w:pPr>
      <w:r>
        <w:t>Detect both file creation and file modification.</w:t>
      </w:r>
    </w:p>
    <w:p>
      <w:pPr>
        <w:pStyle w:val="ListBullet"/>
        <w:spacing w:after="40"/>
      </w:pPr>
      <w:r>
        <w:t>Start ADF and pass enough information to identify the changed file (for example, file path/ID and modified time).</w:t>
      </w:r>
    </w:p>
    <w:p>
      <w:pPr>
        <w:pStyle w:val="ListBullet"/>
        <w:spacing w:after="40"/>
      </w:pPr>
      <w:r>
        <w:t>Avoid processing the same file change more than once, and log success/failure.</w:t>
      </w:r>
    </w:p>
    <w:p>
      <w:pPr>
        <w:pStyle w:val="ListBullet"/>
        <w:spacing w:after="40"/>
      </w:pPr>
      <w:r>
        <w:t>If a file is still uploading or being edited, confirm it is ready before processing.</w:t>
      </w:r>
    </w:p>
    <w:p>
      <w:pPr>
        <w:pStyle w:val="Heading1"/>
      </w:pPr>
      <w:r>
        <w:t>2. Options at a glance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88"/>
            <w:vAlign w:val="center"/>
            <w:shd w:fill="1F4E78"/>
          </w:tcPr>
          <w:p>
            <w:pPr>
              <w:spacing w:after="20"/>
            </w:pPr>
            <w:r/>
            <w:r>
              <w:rPr>
                <w:rFonts w:ascii="Aptos" w:hAnsi="Aptos"/>
                <w:b/>
                <w:color w:val="FFFFFF"/>
                <w:sz w:val="17"/>
              </w:rPr>
              <w:t>Option</w:t>
            </w:r>
          </w:p>
        </w:tc>
        <w:tc>
          <w:tcPr>
            <w:tcW w:type="dxa" w:w="3672"/>
            <w:vAlign w:val="center"/>
            <w:shd w:fill="1F4E78"/>
          </w:tcPr>
          <w:p>
            <w:pPr>
              <w:spacing w:after="20"/>
            </w:pPr>
            <w:r/>
            <w:r>
              <w:rPr>
                <w:rFonts w:ascii="Aptos" w:hAnsi="Aptos"/>
                <w:b/>
                <w:color w:val="FFFFFF"/>
                <w:sz w:val="17"/>
              </w:rPr>
              <w:t>How it works</w:t>
            </w:r>
          </w:p>
        </w:tc>
        <w:tc>
          <w:tcPr>
            <w:tcW w:type="dxa" w:w="2376"/>
            <w:vAlign w:val="center"/>
            <w:shd w:fill="1F4E78"/>
          </w:tcPr>
          <w:p>
            <w:pPr>
              <w:spacing w:after="20"/>
            </w:pPr>
            <w:r/>
            <w:r>
              <w:rPr>
                <w:rFonts w:ascii="Aptos" w:hAnsi="Aptos"/>
                <w:b/>
                <w:color w:val="FFFFFF"/>
                <w:sz w:val="17"/>
              </w:rPr>
              <w:t>Speed expectation</w:t>
            </w:r>
          </w:p>
        </w:tc>
        <w:tc>
          <w:tcPr>
            <w:tcW w:type="dxa" w:w="1080"/>
            <w:vAlign w:val="center"/>
            <w:shd w:fill="1F4E78"/>
          </w:tcPr>
          <w:p>
            <w:pPr>
              <w:spacing w:after="20"/>
            </w:pPr>
            <w:r/>
            <w:r>
              <w:rPr>
                <w:rFonts w:ascii="Aptos" w:hAnsi="Aptos"/>
                <w:b/>
                <w:color w:val="FFFFFF"/>
                <w:sz w:val="17"/>
              </w:rPr>
              <w:t>Complexity</w:t>
            </w:r>
          </w:p>
        </w:tc>
        <w:tc>
          <w:tcPr>
            <w:tcW w:type="dxa" w:w="2232"/>
            <w:vAlign w:val="center"/>
            <w:shd w:fill="1F4E78"/>
          </w:tcPr>
          <w:p>
            <w:pPr>
              <w:spacing w:after="20"/>
            </w:pPr>
            <w:r/>
            <w:r>
              <w:rPr>
                <w:rFonts w:ascii="Aptos" w:hAnsi="Aptos"/>
                <w:b/>
                <w:color w:val="FFFFFF"/>
                <w:sz w:val="17"/>
              </w:rPr>
              <w:t>Best fit</w:t>
            </w:r>
          </w:p>
        </w:tc>
      </w:tr>
      <w:tr>
        <w:tc>
          <w:tcPr>
            <w:tcW w:type="dxa" w:w="2088"/>
            <w:vAlign w:val="center"/>
          </w:tcPr>
          <w:p>
            <w:pPr>
              <w:spacing w:after="20"/>
            </w:pPr>
            <w:r/>
            <w:r>
              <w:rPr>
                <w:rFonts w:ascii="Aptos" w:hAnsi="Aptos"/>
                <w:b w:val="0"/>
                <w:sz w:val="16"/>
              </w:rPr>
              <w:t>1. Azure Logic Apps + SharePoint connector</w:t>
            </w:r>
          </w:p>
        </w:tc>
        <w:tc>
          <w:tcPr>
            <w:tcW w:type="dxa" w:w="3672"/>
            <w:vAlign w:val="center"/>
          </w:tcPr>
          <w:p>
            <w:pPr>
              <w:spacing w:after="20"/>
            </w:pPr>
            <w:r/>
            <w:r>
              <w:rPr>
                <w:rFonts w:ascii="Aptos" w:hAnsi="Aptos"/>
                <w:b w:val="0"/>
                <w:sz w:val="16"/>
              </w:rPr>
              <w:t>A SharePoint trigger checks for created/modified files, then calls ADF.</w:t>
            </w:r>
          </w:p>
        </w:tc>
        <w:tc>
          <w:tcPr>
            <w:tcW w:type="dxa" w:w="2376"/>
            <w:vAlign w:val="center"/>
          </w:tcPr>
          <w:p>
            <w:pPr>
              <w:spacing w:after="20"/>
            </w:pPr>
            <w:r/>
            <w:r>
              <w:rPr>
                <w:rFonts w:ascii="Aptos" w:hAnsi="Aptos"/>
                <w:b w:val="0"/>
                <w:sz w:val="16"/>
              </w:rPr>
              <w:t>Near real-time, but polling-based; delay depends on trigger interval and service behavior.</w:t>
            </w:r>
          </w:p>
        </w:tc>
        <w:tc>
          <w:tcPr>
            <w:tcW w:type="dxa" w:w="1080"/>
            <w:vAlign w:val="center"/>
          </w:tcPr>
          <w:p>
            <w:pPr>
              <w:spacing w:after="20"/>
            </w:pPr>
            <w:r/>
            <w:r>
              <w:rPr>
                <w:rFonts w:ascii="Aptos" w:hAnsi="Aptos"/>
                <w:b w:val="0"/>
                <w:sz w:val="16"/>
              </w:rPr>
              <w:t>Low</w:t>
            </w:r>
          </w:p>
        </w:tc>
        <w:tc>
          <w:tcPr>
            <w:tcW w:type="dxa" w:w="2232"/>
            <w:vAlign w:val="center"/>
          </w:tcPr>
          <w:p>
            <w:pPr>
              <w:spacing w:after="20"/>
            </w:pPr>
            <w:r/>
            <w:r>
              <w:rPr>
                <w:rFonts w:ascii="Aptos" w:hAnsi="Aptos"/>
                <w:b w:val="0"/>
                <w:sz w:val="16"/>
              </w:rPr>
              <w:t>Best starting point for a simple managed solution.</w:t>
            </w:r>
          </w:p>
        </w:tc>
      </w:tr>
      <w:tr>
        <w:tc>
          <w:tcPr>
            <w:tcW w:type="dxa" w:w="2088"/>
            <w:vAlign w:val="center"/>
            <w:shd w:fill="F2F6FA"/>
          </w:tcPr>
          <w:p>
            <w:pPr>
              <w:spacing w:after="20"/>
            </w:pPr>
            <w:r/>
            <w:r>
              <w:rPr>
                <w:rFonts w:ascii="Aptos" w:hAnsi="Aptos"/>
                <w:b w:val="0"/>
                <w:sz w:val="16"/>
              </w:rPr>
              <w:t>2. Power Automate + SharePoint connector</w:t>
            </w:r>
          </w:p>
        </w:tc>
        <w:tc>
          <w:tcPr>
            <w:tcW w:type="dxa" w:w="3672"/>
            <w:vAlign w:val="center"/>
            <w:shd w:fill="F2F6FA"/>
          </w:tcPr>
          <w:p>
            <w:pPr>
              <w:spacing w:after="20"/>
            </w:pPr>
            <w:r/>
            <w:r>
              <w:rPr>
                <w:rFonts w:ascii="Aptos" w:hAnsi="Aptos"/>
                <w:b w:val="0"/>
                <w:sz w:val="16"/>
              </w:rPr>
              <w:t>A cloud flow triggers on file creation/modification and calls ADF through an approved HTTP/API route.</w:t>
            </w:r>
          </w:p>
        </w:tc>
        <w:tc>
          <w:tcPr>
            <w:tcW w:type="dxa" w:w="2376"/>
            <w:vAlign w:val="center"/>
            <w:shd w:fill="F2F6FA"/>
          </w:tcPr>
          <w:p>
            <w:pPr>
              <w:spacing w:after="20"/>
            </w:pPr>
            <w:r/>
            <w:r>
              <w:rPr>
                <w:rFonts w:ascii="Aptos" w:hAnsi="Aptos"/>
                <w:b w:val="0"/>
                <w:sz w:val="16"/>
              </w:rPr>
              <w:t>Near real-time, but connector trigger behavior and licensing apply.</w:t>
            </w:r>
          </w:p>
        </w:tc>
        <w:tc>
          <w:tcPr>
            <w:tcW w:type="dxa" w:w="1080"/>
            <w:vAlign w:val="center"/>
            <w:shd w:fill="F2F6FA"/>
          </w:tcPr>
          <w:p>
            <w:pPr>
              <w:spacing w:after="20"/>
            </w:pPr>
            <w:r/>
            <w:r>
              <w:rPr>
                <w:rFonts w:ascii="Aptos" w:hAnsi="Aptos"/>
                <w:b w:val="0"/>
                <w:sz w:val="16"/>
              </w:rPr>
              <w:t>Low–medium</w:t>
            </w:r>
          </w:p>
        </w:tc>
        <w:tc>
          <w:tcPr>
            <w:tcW w:type="dxa" w:w="2232"/>
            <w:vAlign w:val="center"/>
            <w:shd w:fill="F2F6FA"/>
          </w:tcPr>
          <w:p>
            <w:pPr>
              <w:spacing w:after="20"/>
            </w:pPr>
            <w:r/>
            <w:r>
              <w:rPr>
                <w:rFonts w:ascii="Aptos" w:hAnsi="Aptos"/>
                <w:b w:val="0"/>
                <w:sz w:val="16"/>
              </w:rPr>
              <w:t>Good if the organization already uses Power Automate and licensing permits it.</w:t>
            </w:r>
          </w:p>
        </w:tc>
      </w:tr>
      <w:tr>
        <w:tc>
          <w:tcPr>
            <w:tcW w:type="dxa" w:w="2088"/>
            <w:vAlign w:val="center"/>
          </w:tcPr>
          <w:p>
            <w:pPr>
              <w:spacing w:after="20"/>
            </w:pPr>
            <w:r/>
            <w:r>
              <w:rPr>
                <w:rFonts w:ascii="Aptos" w:hAnsi="Aptos"/>
                <w:b w:val="0"/>
                <w:sz w:val="16"/>
              </w:rPr>
              <w:t>3. Microsoft Graph change notifications + Azure Function/webhook</w:t>
            </w:r>
          </w:p>
        </w:tc>
        <w:tc>
          <w:tcPr>
            <w:tcW w:type="dxa" w:w="3672"/>
            <w:vAlign w:val="center"/>
          </w:tcPr>
          <w:p>
            <w:pPr>
              <w:spacing w:after="20"/>
            </w:pPr>
            <w:r/>
            <w:r>
              <w:rPr>
                <w:rFonts w:ascii="Aptos" w:hAnsi="Aptos"/>
                <w:b w:val="0"/>
                <w:sz w:val="16"/>
              </w:rPr>
              <w:t>Graph sends a change notification to a public HTTPS endpoint; code validates the event and starts ADF.</w:t>
            </w:r>
          </w:p>
        </w:tc>
        <w:tc>
          <w:tcPr>
            <w:tcW w:type="dxa" w:w="2376"/>
            <w:vAlign w:val="center"/>
          </w:tcPr>
          <w:p>
            <w:pPr>
              <w:spacing w:after="20"/>
            </w:pPr>
            <w:r/>
            <w:r>
              <w:rPr>
                <w:rFonts w:ascii="Aptos" w:hAnsi="Aptos"/>
                <w:b w:val="0"/>
                <w:sz w:val="16"/>
              </w:rPr>
              <w:t>Event-driven; can be fast, but delivery is not a hard real-time guarantee.</w:t>
            </w:r>
          </w:p>
        </w:tc>
        <w:tc>
          <w:tcPr>
            <w:tcW w:type="dxa" w:w="1080"/>
            <w:vAlign w:val="center"/>
          </w:tcPr>
          <w:p>
            <w:pPr>
              <w:spacing w:after="20"/>
            </w:pPr>
            <w:r/>
            <w:r>
              <w:rPr>
                <w:rFonts w:ascii="Aptos" w:hAnsi="Aptos"/>
                <w:b w:val="0"/>
                <w:sz w:val="16"/>
              </w:rPr>
              <w:t>High</w:t>
            </w:r>
          </w:p>
        </w:tc>
        <w:tc>
          <w:tcPr>
            <w:tcW w:type="dxa" w:w="2232"/>
            <w:vAlign w:val="center"/>
          </w:tcPr>
          <w:p>
            <w:pPr>
              <w:spacing w:after="20"/>
            </w:pPr>
            <w:r/>
            <w:r>
              <w:rPr>
                <w:rFonts w:ascii="Aptos" w:hAnsi="Aptos"/>
                <w:b w:val="0"/>
                <w:sz w:val="16"/>
              </w:rPr>
              <w:t>Best when low latency and more control justify custom development.</w:t>
            </w:r>
          </w:p>
        </w:tc>
      </w:tr>
      <w:tr>
        <w:tc>
          <w:tcPr>
            <w:tcW w:type="dxa" w:w="2088"/>
            <w:vAlign w:val="center"/>
            <w:shd w:fill="F2F6FA"/>
          </w:tcPr>
          <w:p>
            <w:pPr>
              <w:spacing w:after="20"/>
            </w:pPr>
            <w:r/>
            <w:r>
              <w:rPr>
                <w:rFonts w:ascii="Aptos" w:hAnsi="Aptos"/>
                <w:b w:val="0"/>
                <w:sz w:val="16"/>
              </w:rPr>
              <w:t>4. Scheduled ADF polling</w:t>
            </w:r>
          </w:p>
        </w:tc>
        <w:tc>
          <w:tcPr>
            <w:tcW w:type="dxa" w:w="3672"/>
            <w:vAlign w:val="center"/>
            <w:shd w:fill="F2F6FA"/>
          </w:tcPr>
          <w:p>
            <w:pPr>
              <w:spacing w:after="20"/>
            </w:pPr>
            <w:r/>
            <w:r>
              <w:rPr>
                <w:rFonts w:ascii="Aptos" w:hAnsi="Aptos"/>
                <w:b w:val="0"/>
                <w:sz w:val="16"/>
              </w:rPr>
              <w:t>ADF runs on a recurring schedule and checks SharePoint metadata for new/modified files.</w:t>
            </w:r>
          </w:p>
        </w:tc>
        <w:tc>
          <w:tcPr>
            <w:tcW w:type="dxa" w:w="2376"/>
            <w:vAlign w:val="center"/>
            <w:shd w:fill="F2F6FA"/>
          </w:tcPr>
          <w:p>
            <w:pPr>
              <w:spacing w:after="20"/>
            </w:pPr>
            <w:r/>
            <w:r>
              <w:rPr>
                <w:rFonts w:ascii="Aptos" w:hAnsi="Aptos"/>
                <w:b w:val="0"/>
                <w:sz w:val="16"/>
              </w:rPr>
              <w:t>Only as frequent as the schedule; it may miss the immediate-arrival expectation.</w:t>
            </w:r>
          </w:p>
        </w:tc>
        <w:tc>
          <w:tcPr>
            <w:tcW w:type="dxa" w:w="1080"/>
            <w:vAlign w:val="center"/>
            <w:shd w:fill="F2F6FA"/>
          </w:tcPr>
          <w:p>
            <w:pPr>
              <w:spacing w:after="20"/>
            </w:pPr>
            <w:r/>
            <w:r>
              <w:rPr>
                <w:rFonts w:ascii="Aptos" w:hAnsi="Aptos"/>
                <w:b w:val="0"/>
                <w:sz w:val="16"/>
              </w:rPr>
              <w:t>Low–medium</w:t>
            </w:r>
          </w:p>
        </w:tc>
        <w:tc>
          <w:tcPr>
            <w:tcW w:type="dxa" w:w="2232"/>
            <w:vAlign w:val="center"/>
            <w:shd w:fill="F2F6FA"/>
          </w:tcPr>
          <w:p>
            <w:pPr>
              <w:spacing w:after="20"/>
            </w:pPr>
            <w:r/>
            <w:r>
              <w:rPr>
                <w:rFonts w:ascii="Aptos" w:hAnsi="Aptos"/>
                <w:b w:val="0"/>
                <w:sz w:val="16"/>
              </w:rPr>
              <w:t>Fallback where event-based integration is not approved.</w:t>
            </w:r>
          </w:p>
        </w:tc>
      </w:tr>
    </w:tbl>
    <w:p>
      <w:pPr>
        <w:spacing w:after="20"/>
      </w:pPr>
    </w:p>
    <w:p>
      <w:pPr>
        <w:pStyle w:val="Heading1"/>
      </w:pPr>
      <w:r>
        <w:t>3. Option 1 — Azure Logic Apps (recommended starting point)</w:t>
      </w:r>
    </w:p>
    <w:p>
      <w:r>
        <w:t>A Logic App uses the SharePoint connector trigger “When a file is created or modified (properties only)”. It monitors the selected site and library/folder. When it detects a change, the workflow calls the ADF REST API to start the required pipeline. The pipeline can then read the file details and process the file.</w:t>
      </w:r>
    </w:p>
    <w:p>
      <w:r>
        <w:t>Simple flow:</w:t>
      </w:r>
    </w:p>
    <w:p>
      <w:pPr>
        <w:jc w:val="center"/>
      </w:pPr>
      <w:r>
        <w:rPr>
          <w:b/>
          <w:color w:val="1F4E79"/>
        </w:rPr>
        <w:t>SharePoint folder → Logic App trigger → Validate file/change → Start ADF pipeline → Log run</w:t>
      </w:r>
    </w:p>
    <w:p>
      <w:pPr>
        <w:pStyle w:val="Heading2"/>
      </w:pPr>
      <w:r>
        <w:t>Pros</w:t>
      </w:r>
    </w:p>
    <w:p>
      <w:pPr>
        <w:pStyle w:val="ListBullet"/>
        <w:spacing w:after="40"/>
      </w:pPr>
      <w:r>
        <w:t>Low-code and relatively quick to build.</w:t>
      </w:r>
    </w:p>
    <w:p>
      <w:pPr>
        <w:pStyle w:val="ListBullet"/>
        <w:spacing w:after="40"/>
      </w:pPr>
      <w:r>
        <w:t>Uses a standard SharePoint connector; no custom monitoring service is needed for the basic design.</w:t>
      </w:r>
    </w:p>
    <w:p>
      <w:pPr>
        <w:pStyle w:val="ListBullet"/>
        <w:spacing w:after="40"/>
      </w:pPr>
      <w:r>
        <w:t>Can monitor file creation and modification.</w:t>
      </w:r>
    </w:p>
    <w:p>
      <w:pPr>
        <w:pStyle w:val="ListBullet"/>
        <w:spacing w:after="40"/>
      </w:pPr>
      <w:r>
        <w:t>Can call the ADF pipeline using its REST API and pass file metadata.</w:t>
      </w:r>
    </w:p>
    <w:p>
      <w:pPr>
        <w:pStyle w:val="ListBullet"/>
        <w:spacing w:after="40"/>
      </w:pPr>
      <w:r>
        <w:t>Consumption pricing can suit an infrequent workload, although connector checks and actions still have cost/licensing implications.</w:t>
      </w:r>
    </w:p>
    <w:p>
      <w:pPr>
        <w:pStyle w:val="Heading2"/>
      </w:pPr>
      <w:r>
        <w:t>Cons / things to check</w:t>
      </w:r>
    </w:p>
    <w:p>
      <w:pPr>
        <w:pStyle w:val="ListBullet"/>
        <w:spacing w:after="40"/>
      </w:pPr>
      <w:r>
        <w:t>The SharePoint connector trigger is polling-based, so a change is not guaranteed to trigger ADF instantly.</w:t>
      </w:r>
    </w:p>
    <w:p>
      <w:pPr>
        <w:pStyle w:val="ListBullet"/>
        <w:spacing w:after="40"/>
      </w:pPr>
      <w:r>
        <w:t>Connector polling interval, throttling, retry behavior, and licensing must be confirmed for the selected Logic Apps plan and connector.</w:t>
      </w:r>
    </w:p>
    <w:p>
      <w:pPr>
        <w:pStyle w:val="ListBullet"/>
        <w:spacing w:after="40"/>
      </w:pPr>
      <w:r>
        <w:t>A file can be modified several times while being uploaded or edited; add a readiness check and duplicate-run protection.</w:t>
      </w:r>
    </w:p>
    <w:p>
      <w:pPr>
        <w:pStyle w:val="ListBullet"/>
        <w:spacing w:after="40"/>
      </w:pPr>
      <w:r>
        <w:t>The workflow needs secure authentication to SharePoint and permission to start the ADF pipeline.</w:t>
      </w:r>
    </w:p>
    <w:p>
      <w:pPr>
        <w:pStyle w:val="ListBullet"/>
        <w:spacing w:after="40"/>
      </w:pPr>
      <w:r>
        <w:t>A failed workflow or expired connection can stop detection until it is repaired.</w:t>
      </w:r>
    </w:p>
    <w:p>
      <w:pPr>
        <w:pStyle w:val="Heading2"/>
      </w:pPr>
      <w:r>
        <w:t>Required infrastructure and access</w:t>
      </w:r>
    </w:p>
    <w:p>
      <w:pPr>
        <w:pStyle w:val="ListBullet"/>
        <w:spacing w:after="40"/>
      </w:pPr>
      <w:r>
        <w:t>Azure Logic App (Consumption or Standard, selected according to enterprise requirements).</w:t>
      </w:r>
    </w:p>
    <w:p>
      <w:pPr>
        <w:pStyle w:val="ListBullet"/>
        <w:spacing w:after="40"/>
      </w:pPr>
      <w:r>
        <w:t>SharePoint Online connector connection and read access to the target site/library/folder.</w:t>
      </w:r>
    </w:p>
    <w:p>
      <w:pPr>
        <w:pStyle w:val="ListBullet"/>
        <w:spacing w:after="40"/>
      </w:pPr>
      <w:r>
        <w:t>ADF pipeline and permission to call the ADF pipeline-run REST API; use an approved identity/service principal where supported.</w:t>
      </w:r>
    </w:p>
    <w:p>
      <w:pPr>
        <w:pStyle w:val="ListBullet"/>
        <w:spacing w:after="40"/>
      </w:pPr>
      <w:r>
        <w:t>Secure storage for credentials/secrets if required by the chosen authentication approach.</w:t>
      </w:r>
    </w:p>
    <w:p>
      <w:pPr>
        <w:pStyle w:val="ListBullet"/>
        <w:spacing w:after="40"/>
      </w:pPr>
      <w:r>
        <w:t>Monitoring/alerting for failed Logic App runs and failed ADF runs.</w:t>
      </w:r>
    </w:p>
    <w:p>
      <w:pPr>
        <w:pStyle w:val="Heading1"/>
      </w:pPr>
      <w:r>
        <w:t>4. Option 2 — Power Automate</w:t>
      </w:r>
    </w:p>
    <w:p>
      <w:r>
        <w:t>A cloud flow uses the SharePoint trigger for a file being created or modified. It then invokes the ADF pipeline, typically through an approved HTTP action, custom connector, or intermediary endpoint. Confirm that the selected actions are allowed by your tenant and licensing.</w:t>
      </w:r>
    </w:p>
    <w:tbl>
      <w:tblPr>
        <w:tblStyle w:val="TableGrid"/>
        <w:tblW w:type="auto" w:w="0"/>
        <w:jc w:val="center"/>
        <w:tblLook w:firstColumn="1" w:firstRow="1" w:lastColumn="0" w:lastRow="0" w:noHBand="0" w:noVBand="1" w:val="04A0"/>
      </w:tblPr>
      <w:tblGrid>
        <w:gridCol w:w="5112"/>
        <w:gridCol w:w="5112"/>
      </w:tblGrid>
      <w:tr>
        <w:tc>
          <w:tcPr>
            <w:tcW w:type="dxa" w:w="5472"/>
            <w:vAlign w:val="center"/>
            <w:shd w:fill="1F4E78"/>
          </w:tcPr>
          <w:p>
            <w:pPr>
              <w:spacing w:after="20"/>
            </w:pPr>
            <w:r/>
            <w:r>
              <w:rPr>
                <w:rFonts w:ascii="Aptos" w:hAnsi="Aptos"/>
                <w:b/>
                <w:color w:val="FFFFFF"/>
                <w:sz w:val="17"/>
              </w:rPr>
              <w:t>Pros</w:t>
            </w:r>
          </w:p>
        </w:tc>
        <w:tc>
          <w:tcPr>
            <w:tcW w:type="dxa" w:w="5472"/>
            <w:vAlign w:val="center"/>
            <w:shd w:fill="1F4E78"/>
          </w:tcPr>
          <w:p>
            <w:pPr>
              <w:spacing w:after="20"/>
            </w:pPr>
            <w:r/>
            <w:r>
              <w:rPr>
                <w:rFonts w:ascii="Aptos" w:hAnsi="Aptos"/>
                <w:b/>
                <w:color w:val="FFFFFF"/>
                <w:sz w:val="17"/>
              </w:rPr>
              <w:t>Cons</w:t>
            </w:r>
          </w:p>
        </w:tc>
      </w:tr>
      <w:tr>
        <w:tc>
          <w:tcPr>
            <w:tcW w:type="dxa" w:w="5472"/>
            <w:vAlign w:val="center"/>
          </w:tcPr>
          <w:p>
            <w:pPr>
              <w:spacing w:after="20"/>
            </w:pPr>
            <w:r/>
            <w:r>
              <w:rPr>
                <w:rFonts w:ascii="Aptos" w:hAnsi="Aptos"/>
                <w:b w:val="0"/>
                <w:sz w:val="16"/>
              </w:rPr>
              <w:t>Easy for teams already using Microsoft 365 and Power Automate.</w:t>
            </w:r>
          </w:p>
        </w:tc>
        <w:tc>
          <w:tcPr>
            <w:tcW w:type="dxa" w:w="5472"/>
            <w:vAlign w:val="center"/>
          </w:tcPr>
          <w:p>
            <w:pPr>
              <w:spacing w:after="20"/>
            </w:pPr>
            <w:r/>
            <w:r>
              <w:rPr>
                <w:rFonts w:ascii="Aptos" w:hAnsi="Aptos"/>
                <w:b w:val="0"/>
                <w:sz w:val="16"/>
              </w:rPr>
              <w:t>The trigger is not a guarantee of instantaneous delivery; connector behavior and throttling can introduce delay.</w:t>
            </w:r>
          </w:p>
        </w:tc>
      </w:tr>
      <w:tr>
        <w:tc>
          <w:tcPr>
            <w:tcW w:type="dxa" w:w="5472"/>
            <w:vAlign w:val="center"/>
            <w:shd w:fill="F2F6FA"/>
          </w:tcPr>
          <w:p>
            <w:pPr>
              <w:spacing w:after="20"/>
            </w:pPr>
            <w:r/>
            <w:r>
              <w:rPr>
                <w:rFonts w:ascii="Aptos" w:hAnsi="Aptos"/>
                <w:b w:val="0"/>
                <w:sz w:val="16"/>
              </w:rPr>
              <w:t>Low-code workflow and built-in run history.</w:t>
            </w:r>
          </w:p>
        </w:tc>
        <w:tc>
          <w:tcPr>
            <w:tcW w:type="dxa" w:w="5472"/>
            <w:vAlign w:val="center"/>
            <w:shd w:fill="F2F6FA"/>
          </w:tcPr>
          <w:p>
            <w:pPr>
              <w:spacing w:after="20"/>
            </w:pPr>
            <w:r/>
            <w:r>
              <w:rPr>
                <w:rFonts w:ascii="Aptos" w:hAnsi="Aptos"/>
                <w:b w:val="0"/>
                <w:sz w:val="16"/>
              </w:rPr>
              <w:t>Calling ADF may require a premium HTTP/API capability or another licensed/approved route.</w:t>
            </w:r>
          </w:p>
        </w:tc>
      </w:tr>
      <w:tr>
        <w:tc>
          <w:tcPr>
            <w:tcW w:type="dxa" w:w="5472"/>
            <w:vAlign w:val="center"/>
          </w:tcPr>
          <w:p>
            <w:pPr>
              <w:spacing w:after="20"/>
            </w:pPr>
            <w:r/>
            <w:r>
              <w:rPr>
                <w:rFonts w:ascii="Aptos" w:hAnsi="Aptos"/>
                <w:b w:val="0"/>
                <w:sz w:val="16"/>
              </w:rPr>
              <w:t>Can filter events and pass file metadata.</w:t>
            </w:r>
          </w:p>
        </w:tc>
        <w:tc>
          <w:tcPr>
            <w:tcW w:type="dxa" w:w="5472"/>
            <w:vAlign w:val="center"/>
          </w:tcPr>
          <w:p>
            <w:pPr>
              <w:spacing w:after="20"/>
            </w:pPr>
            <w:r/>
            <w:r>
              <w:rPr>
                <w:rFonts w:ascii="Aptos" w:hAnsi="Aptos"/>
                <w:b w:val="0"/>
                <w:sz w:val="16"/>
              </w:rPr>
              <w:t>Governance, owner/service account, connection lifetime, and flow limits need to be managed.</w:t>
            </w:r>
          </w:p>
        </w:tc>
      </w:tr>
    </w:tbl>
    <w:p>
      <w:pPr>
        <w:spacing w:after="20"/>
      </w:pPr>
    </w:p>
    <w:p>
      <w:r>
        <w:t>Infrastructure: Power Automate environment, SharePoint connection, approved method to call ADF, and an owner/service identity with the required permissions. This can be attractive if already licensed and governed, but validate total licensing before choosing it over Logic Apps.</w:t>
      </w:r>
    </w:p>
    <w:p>
      <w:pPr>
        <w:pStyle w:val="Heading1"/>
      </w:pPr>
      <w:r>
        <w:t>5. Option 3 — Microsoft Graph change notifications + Azure Function</w:t>
      </w:r>
    </w:p>
    <w:p>
      <w:r>
        <w:t>Microsoft Graph supports change notifications for SharePoint lists and OneDrive for Business drive items. A subscription sends a notification to a public HTTPS webhook endpoint when a relevant change occurs. An Azure Function can receive and validate the notification, identify the changed item, fetch current metadata, apply filters/readiness checks, and call ADF.</w:t>
      </w:r>
    </w:p>
    <w:p>
      <w:pPr>
        <w:jc w:val="center"/>
      </w:pPr>
      <w:r>
        <w:rPr>
          <w:b/>
          <w:color w:val="1F4E79"/>
        </w:rPr>
        <w:t>SharePoint → Microsoft Graph subscription → HTTPS webhook/Azure Function → Validate event → Start ADF</w:t>
      </w:r>
    </w:p>
    <w:p>
      <w:pPr>
        <w:pStyle w:val="Heading2"/>
      </w:pPr>
      <w:r>
        <w:t>Pros</w:t>
      </w:r>
    </w:p>
    <w:p>
      <w:pPr>
        <w:pStyle w:val="ListBullet"/>
        <w:spacing w:after="40"/>
      </w:pPr>
      <w:r>
        <w:t>Event-driven design; avoids repeatedly checking the folder on a short polling schedule.</w:t>
      </w:r>
    </w:p>
    <w:p>
      <w:pPr>
        <w:pStyle w:val="ListBullet"/>
        <w:spacing w:after="40"/>
      </w:pPr>
      <w:r>
        <w:t>More control over filters, duplicate detection, logging, retries, and business rules.</w:t>
      </w:r>
    </w:p>
    <w:p>
      <w:pPr>
        <w:pStyle w:val="ListBullet"/>
        <w:spacing w:after="40"/>
      </w:pPr>
      <w:r>
        <w:t>Suitable when low latency is important or the workflow may grow more complex.</w:t>
      </w:r>
    </w:p>
    <w:p>
      <w:pPr>
        <w:pStyle w:val="Heading2"/>
      </w:pPr>
      <w:r>
        <w:t>Cons</w:t>
      </w:r>
    </w:p>
    <w:p>
      <w:pPr>
        <w:pStyle w:val="ListBullet"/>
        <w:spacing w:after="40"/>
      </w:pPr>
      <w:r>
        <w:t>Requires custom development, testing, deployment, and ongoing support.</w:t>
      </w:r>
    </w:p>
    <w:p>
      <w:pPr>
        <w:pStyle w:val="ListBullet"/>
        <w:spacing w:after="40"/>
      </w:pPr>
      <w:r>
        <w:t>Requires an app registration, Graph permissions/admin consent as applicable, and a publicly reachable HTTPS endpoint.</w:t>
      </w:r>
    </w:p>
    <w:p>
      <w:pPr>
        <w:pStyle w:val="ListBullet"/>
        <w:spacing w:after="40"/>
      </w:pPr>
      <w:r>
        <w:t>Graph subscriptions expire and must be renewed; lifecycle notifications and recovery/reconciliation must be implemented.</w:t>
      </w:r>
    </w:p>
    <w:p>
      <w:pPr>
        <w:pStyle w:val="ListBullet"/>
        <w:spacing w:after="40"/>
      </w:pPr>
      <w:r>
        <w:t>Notifications can be delayed or missed if the endpoint is unhealthy; use a reconciliation process rather than assuming every event is delivered.</w:t>
      </w:r>
    </w:p>
    <w:p>
      <w:pPr>
        <w:pStyle w:val="Heading2"/>
      </w:pPr>
      <w:r>
        <w:t>Required infrastructure and access</w:t>
      </w:r>
    </w:p>
    <w:p>
      <w:pPr>
        <w:pStyle w:val="ListBullet"/>
        <w:spacing w:after="40"/>
      </w:pPr>
      <w:r>
        <w:t>Microsoft Entra app registration and least-privilege Microsoft Graph permissions approved by the tenant administrator.</w:t>
      </w:r>
    </w:p>
    <w:p>
      <w:pPr>
        <w:pStyle w:val="ListBullet"/>
        <w:spacing w:after="40"/>
      </w:pPr>
      <w:r>
        <w:t>Azure Function or equivalent secure HTTPS webhook endpoint.</w:t>
      </w:r>
    </w:p>
    <w:p>
      <w:pPr>
        <w:pStyle w:val="ListBullet"/>
        <w:spacing w:after="40"/>
      </w:pPr>
      <w:r>
        <w:t>Subscription creation and renewal logic, secure secret/certificate management, and logging/alerting.</w:t>
      </w:r>
    </w:p>
    <w:p>
      <w:pPr>
        <w:pStyle w:val="ListBullet"/>
        <w:spacing w:after="40"/>
      </w:pPr>
      <w:r>
        <w:t>Identity/permission to start ADF, plus retry and reconciliation logic.</w:t>
      </w:r>
    </w:p>
    <w:p>
      <w:r>
        <w:t>Important: Graph notifications are event-driven, but Microsoft documentation lists driveItem notification latency as an average under one minute and a maximum that can be much longer in some circumstances. Do not promise a hard real-time SLA without validating the exact resource and design.</w:t>
      </w:r>
    </w:p>
    <w:p>
      <w:pPr>
        <w:pStyle w:val="Heading1"/>
      </w:pPr>
      <w:r>
        <w:t>6. Option 4 — Scheduled ADF polling</w:t>
      </w:r>
    </w:p>
    <w:p>
      <w:r>
        <w:t>ADF runs every chosen interval and checks SharePoint file metadata for new or modified files, then processes only files that have changed since the last successful run. This is simple operationally but is not event-triggered.</w:t>
      </w:r>
    </w:p>
    <w:tbl>
      <w:tblPr>
        <w:tblStyle w:val="TableGrid"/>
        <w:tblW w:type="auto" w:w="0"/>
        <w:jc w:val="center"/>
        <w:tblLook w:firstColumn="1" w:firstRow="1" w:lastColumn="0" w:lastRow="0" w:noHBand="0" w:noVBand="1" w:val="04A0"/>
      </w:tblPr>
      <w:tblGrid>
        <w:gridCol w:w="5112"/>
        <w:gridCol w:w="5112"/>
      </w:tblGrid>
      <w:tr>
        <w:tc>
          <w:tcPr>
            <w:tcW w:type="dxa" w:w="5472"/>
            <w:vAlign w:val="center"/>
            <w:shd w:fill="1F4E78"/>
          </w:tcPr>
          <w:p>
            <w:pPr>
              <w:spacing w:after="20"/>
            </w:pPr>
            <w:r/>
            <w:r>
              <w:rPr>
                <w:rFonts w:ascii="Aptos" w:hAnsi="Aptos"/>
                <w:b/>
                <w:color w:val="FFFFFF"/>
                <w:sz w:val="17"/>
              </w:rPr>
              <w:t>Pros</w:t>
            </w:r>
          </w:p>
        </w:tc>
        <w:tc>
          <w:tcPr>
            <w:tcW w:type="dxa" w:w="5472"/>
            <w:vAlign w:val="center"/>
            <w:shd w:fill="1F4E78"/>
          </w:tcPr>
          <w:p>
            <w:pPr>
              <w:spacing w:after="20"/>
            </w:pPr>
            <w:r/>
            <w:r>
              <w:rPr>
                <w:rFonts w:ascii="Aptos" w:hAnsi="Aptos"/>
                <w:b/>
                <w:color w:val="FFFFFF"/>
                <w:sz w:val="17"/>
              </w:rPr>
              <w:t>Cons</w:t>
            </w:r>
          </w:p>
        </w:tc>
      </w:tr>
      <w:tr>
        <w:tc>
          <w:tcPr>
            <w:tcW w:type="dxa" w:w="5472"/>
            <w:vAlign w:val="center"/>
          </w:tcPr>
          <w:p>
            <w:pPr>
              <w:spacing w:after="20"/>
            </w:pPr>
            <w:r/>
            <w:r>
              <w:rPr>
                <w:rFonts w:ascii="Aptos" w:hAnsi="Aptos"/>
                <w:b w:val="0"/>
                <w:sz w:val="16"/>
              </w:rPr>
              <w:t>Uses the existing ADF platform and may avoid a separate event service.</w:t>
            </w:r>
          </w:p>
        </w:tc>
        <w:tc>
          <w:tcPr>
            <w:tcW w:type="dxa" w:w="5472"/>
            <w:vAlign w:val="center"/>
          </w:tcPr>
          <w:p>
            <w:pPr>
              <w:spacing w:after="20"/>
            </w:pPr>
            <w:r/>
            <w:r>
              <w:rPr>
                <w:rFonts w:ascii="Aptos" w:hAnsi="Aptos"/>
                <w:b w:val="0"/>
                <w:sz w:val="16"/>
              </w:rPr>
              <w:t>The file is not processed until the next scheduled check.</w:t>
            </w:r>
          </w:p>
        </w:tc>
      </w:tr>
      <w:tr>
        <w:tc>
          <w:tcPr>
            <w:tcW w:type="dxa" w:w="5472"/>
            <w:vAlign w:val="center"/>
            <w:shd w:fill="F2F6FA"/>
          </w:tcPr>
          <w:p>
            <w:pPr>
              <w:spacing w:after="20"/>
            </w:pPr>
            <w:r/>
            <w:r>
              <w:rPr>
                <w:rFonts w:ascii="Aptos" w:hAnsi="Aptos"/>
                <w:b w:val="0"/>
                <w:sz w:val="16"/>
              </w:rPr>
              <w:t>Easy to reason about if a watermark or file inventory is maintained.</w:t>
            </w:r>
          </w:p>
        </w:tc>
        <w:tc>
          <w:tcPr>
            <w:tcW w:type="dxa" w:w="5472"/>
            <w:vAlign w:val="center"/>
            <w:shd w:fill="F2F6FA"/>
          </w:tcPr>
          <w:p>
            <w:pPr>
              <w:spacing w:after="20"/>
            </w:pPr>
            <w:r/>
            <w:r>
              <w:rPr>
                <w:rFonts w:ascii="Aptos" w:hAnsi="Aptos"/>
                <w:b w:val="0"/>
                <w:sz w:val="16"/>
              </w:rPr>
              <w:t>Frequent schedules can create unnecessary pipeline runs and metadata/API calls.</w:t>
            </w:r>
          </w:p>
        </w:tc>
      </w:tr>
      <w:tr>
        <w:tc>
          <w:tcPr>
            <w:tcW w:type="dxa" w:w="5472"/>
            <w:vAlign w:val="center"/>
          </w:tcPr>
          <w:p>
            <w:pPr>
              <w:spacing w:after="20"/>
            </w:pPr>
            <w:r/>
            <w:r>
              <w:rPr>
                <w:rFonts w:ascii="Aptos" w:hAnsi="Aptos"/>
                <w:b w:val="0"/>
                <w:sz w:val="16"/>
              </w:rPr>
              <w:t>Useful as a backup reconciliation process for an event-driven design.</w:t>
            </w:r>
          </w:p>
        </w:tc>
        <w:tc>
          <w:tcPr>
            <w:tcW w:type="dxa" w:w="5472"/>
            <w:vAlign w:val="center"/>
          </w:tcPr>
          <w:p>
            <w:pPr>
              <w:spacing w:after="20"/>
            </w:pPr>
            <w:r/>
            <w:r>
              <w:rPr>
                <w:rFonts w:ascii="Aptos" w:hAnsi="Aptos"/>
                <w:b w:val="0"/>
                <w:sz w:val="16"/>
              </w:rPr>
              <w:t>The SharePoint connector/API access and pagination/throttling still need to be handled.</w:t>
            </w:r>
          </w:p>
        </w:tc>
      </w:tr>
    </w:tbl>
    <w:p>
      <w:pPr>
        <w:spacing w:after="20"/>
      </w:pPr>
    </w:p>
    <w:p>
      <w:pPr>
        <w:pStyle w:val="Heading1"/>
      </w:pPr>
      <w:r>
        <w:t>7. Cost and infrastructure dependency</w:t>
      </w:r>
    </w:p>
    <w:p>
      <w:r>
        <w:t>Exact monthly cost cannot be responsibly stated without the Azure region, selected plan, number of monitored libraries, trigger/check frequency, number of file changes, workflow action count, and existing Microsoft 365/Power Automate licenses. Use the official calculators/pricing pages below to calculate the actual amount for your tenant.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F4E78"/>
          </w:tcPr>
          <w:p>
            <w:pPr>
              <w:spacing w:after="20"/>
            </w:pPr>
            <w:r/>
            <w:r>
              <w:rPr>
                <w:rFonts w:ascii="Aptos" w:hAnsi="Aptos"/>
                <w:b/>
                <w:color w:val="FFFFFF"/>
                <w:sz w:val="17"/>
              </w:rPr>
              <w:t>Option</w:t>
            </w:r>
          </w:p>
        </w:tc>
        <w:tc>
          <w:tcPr>
            <w:tcW w:type="dxa" w:w="3384"/>
            <w:vAlign w:val="center"/>
            <w:shd w:fill="1F4E78"/>
          </w:tcPr>
          <w:p>
            <w:pPr>
              <w:spacing w:after="20"/>
            </w:pPr>
            <w:r/>
            <w:r>
              <w:rPr>
                <w:rFonts w:ascii="Aptos" w:hAnsi="Aptos"/>
                <w:b/>
                <w:color w:val="FFFFFF"/>
                <w:sz w:val="17"/>
              </w:rPr>
              <w:t>Main cost drivers</w:t>
            </w:r>
          </w:p>
        </w:tc>
        <w:tc>
          <w:tcPr>
            <w:tcW w:type="dxa" w:w="3312"/>
            <w:vAlign w:val="center"/>
            <w:shd w:fill="1F4E78"/>
          </w:tcPr>
          <w:p>
            <w:pPr>
              <w:spacing w:after="20"/>
            </w:pPr>
            <w:r/>
            <w:r>
              <w:rPr>
                <w:rFonts w:ascii="Aptos" w:hAnsi="Aptos"/>
                <w:b/>
                <w:color w:val="FFFFFF"/>
                <w:sz w:val="17"/>
              </w:rPr>
              <w:t>Likely cost profile for monthly files</w:t>
            </w:r>
          </w:p>
        </w:tc>
        <w:tc>
          <w:tcPr>
            <w:tcW w:type="dxa" w:w="2592"/>
            <w:vAlign w:val="center"/>
            <w:shd w:fill="1F4E78"/>
          </w:tcPr>
          <w:p>
            <w:pPr>
              <w:spacing w:after="20"/>
            </w:pPr>
            <w:r/>
            <w:r>
              <w:rPr>
                <w:rFonts w:ascii="Aptos" w:hAnsi="Aptos"/>
                <w:b/>
                <w:color w:val="FFFFFF"/>
                <w:sz w:val="17"/>
              </w:rPr>
              <w:t>Extra infrastructure</w:t>
            </w:r>
          </w:p>
        </w:tc>
      </w:tr>
      <w:tr>
        <w:tc>
          <w:tcPr>
            <w:tcW w:type="dxa" w:w="1728"/>
            <w:vAlign w:val="center"/>
          </w:tcPr>
          <w:p>
            <w:pPr>
              <w:spacing w:after="20"/>
            </w:pPr>
            <w:r/>
            <w:r>
              <w:rPr>
                <w:rFonts w:ascii="Aptos" w:hAnsi="Aptos"/>
                <w:b w:val="0"/>
                <w:sz w:val="16"/>
              </w:rPr>
              <w:t>Logic Apps</w:t>
            </w:r>
          </w:p>
        </w:tc>
        <w:tc>
          <w:tcPr>
            <w:tcW w:type="dxa" w:w="3384"/>
            <w:vAlign w:val="center"/>
          </w:tcPr>
          <w:p>
            <w:pPr>
              <w:spacing w:after="20"/>
            </w:pPr>
            <w:r/>
            <w:r>
              <w:rPr>
                <w:rFonts w:ascii="Aptos" w:hAnsi="Aptos"/>
                <w:b w:val="0"/>
                <w:sz w:val="16"/>
              </w:rPr>
              <w:t>Workflow executions/actions, connector plan and any integration features.</w:t>
            </w:r>
          </w:p>
        </w:tc>
        <w:tc>
          <w:tcPr>
            <w:tcW w:type="dxa" w:w="3312"/>
            <w:vAlign w:val="center"/>
          </w:tcPr>
          <w:p>
            <w:pPr>
              <w:spacing w:after="20"/>
            </w:pPr>
            <w:r/>
            <w:r>
              <w:rPr>
                <w:rFonts w:ascii="Aptos" w:hAnsi="Aptos"/>
                <w:b w:val="0"/>
                <w:sz w:val="16"/>
              </w:rPr>
              <w:t>Often low for low-volume workloads, but trigger checks and connector pricing matter.</w:t>
            </w:r>
          </w:p>
        </w:tc>
        <w:tc>
          <w:tcPr>
            <w:tcW w:type="dxa" w:w="2592"/>
            <w:vAlign w:val="center"/>
          </w:tcPr>
          <w:p>
            <w:pPr>
              <w:spacing w:after="20"/>
            </w:pPr>
            <w:r/>
            <w:r>
              <w:rPr>
                <w:rFonts w:ascii="Aptos" w:hAnsi="Aptos"/>
                <w:b w:val="0"/>
                <w:sz w:val="16"/>
              </w:rPr>
              <w:t>Logic App, SharePoint connection, ADF API access, monitoring.</w:t>
            </w:r>
          </w:p>
        </w:tc>
      </w:tr>
      <w:tr>
        <w:tc>
          <w:tcPr>
            <w:tcW w:type="dxa" w:w="1728"/>
            <w:vAlign w:val="center"/>
            <w:shd w:fill="F2F6FA"/>
          </w:tcPr>
          <w:p>
            <w:pPr>
              <w:spacing w:after="20"/>
            </w:pPr>
            <w:r/>
            <w:r>
              <w:rPr>
                <w:rFonts w:ascii="Aptos" w:hAnsi="Aptos"/>
                <w:b w:val="0"/>
                <w:sz w:val="16"/>
              </w:rPr>
              <w:t>Power Automate</w:t>
            </w:r>
          </w:p>
        </w:tc>
        <w:tc>
          <w:tcPr>
            <w:tcW w:type="dxa" w:w="3384"/>
            <w:vAlign w:val="center"/>
            <w:shd w:fill="F2F6FA"/>
          </w:tcPr>
          <w:p>
            <w:pPr>
              <w:spacing w:after="20"/>
            </w:pPr>
            <w:r/>
            <w:r>
              <w:rPr>
                <w:rFonts w:ascii="Aptos" w:hAnsi="Aptos"/>
                <w:b w:val="0"/>
                <w:sz w:val="16"/>
              </w:rPr>
              <w:t>Existing M365 entitlement, premium connectors, per-user/per-flow licensing and flow usage limits.</w:t>
            </w:r>
          </w:p>
        </w:tc>
        <w:tc>
          <w:tcPr>
            <w:tcW w:type="dxa" w:w="3312"/>
            <w:vAlign w:val="center"/>
            <w:shd w:fill="F2F6FA"/>
          </w:tcPr>
          <w:p>
            <w:pPr>
              <w:spacing w:after="20"/>
            </w:pPr>
            <w:r/>
            <w:r>
              <w:rPr>
                <w:rFonts w:ascii="Aptos" w:hAnsi="Aptos"/>
                <w:b w:val="0"/>
                <w:sz w:val="16"/>
              </w:rPr>
              <w:t>Potentially low incremental cost if already licensed; may rise if premium capabilities are needed.</w:t>
            </w:r>
          </w:p>
        </w:tc>
        <w:tc>
          <w:tcPr>
            <w:tcW w:type="dxa" w:w="2592"/>
            <w:vAlign w:val="center"/>
            <w:shd w:fill="F2F6FA"/>
          </w:tcPr>
          <w:p>
            <w:pPr>
              <w:spacing w:after="20"/>
            </w:pPr>
            <w:r/>
            <w:r>
              <w:rPr>
                <w:rFonts w:ascii="Aptos" w:hAnsi="Aptos"/>
                <w:b w:val="0"/>
                <w:sz w:val="16"/>
              </w:rPr>
              <w:t>Power Automate environment, approved ADF invocation method, connection owner.</w:t>
            </w:r>
          </w:p>
        </w:tc>
      </w:tr>
      <w:tr>
        <w:tc>
          <w:tcPr>
            <w:tcW w:type="dxa" w:w="1728"/>
            <w:vAlign w:val="center"/>
          </w:tcPr>
          <w:p>
            <w:pPr>
              <w:spacing w:after="20"/>
            </w:pPr>
            <w:r/>
            <w:r>
              <w:rPr>
                <w:rFonts w:ascii="Aptos" w:hAnsi="Aptos"/>
                <w:b w:val="0"/>
                <w:sz w:val="16"/>
              </w:rPr>
              <w:t>Graph + Function</w:t>
            </w:r>
          </w:p>
        </w:tc>
        <w:tc>
          <w:tcPr>
            <w:tcW w:type="dxa" w:w="3384"/>
            <w:vAlign w:val="center"/>
          </w:tcPr>
          <w:p>
            <w:pPr>
              <w:spacing w:after="20"/>
            </w:pPr>
            <w:r/>
            <w:r>
              <w:rPr>
                <w:rFonts w:ascii="Aptos" w:hAnsi="Aptos"/>
                <w:b w:val="0"/>
                <w:sz w:val="16"/>
              </w:rPr>
              <w:t>Function executions/compute, logging, storage/networking where used, plus engineering/support effort.</w:t>
            </w:r>
          </w:p>
        </w:tc>
        <w:tc>
          <w:tcPr>
            <w:tcW w:type="dxa" w:w="3312"/>
            <w:vAlign w:val="center"/>
          </w:tcPr>
          <w:p>
            <w:pPr>
              <w:spacing w:after="20"/>
            </w:pPr>
            <w:r/>
            <w:r>
              <w:rPr>
                <w:rFonts w:ascii="Aptos" w:hAnsi="Aptos"/>
                <w:b w:val="0"/>
                <w:sz w:val="16"/>
              </w:rPr>
              <w:t>Cloud runtime usage may be low at low volume; setup and maintenance effort are the bigger cost.</w:t>
            </w:r>
          </w:p>
        </w:tc>
        <w:tc>
          <w:tcPr>
            <w:tcW w:type="dxa" w:w="2592"/>
            <w:vAlign w:val="center"/>
          </w:tcPr>
          <w:p>
            <w:pPr>
              <w:spacing w:after="20"/>
            </w:pPr>
            <w:r/>
            <w:r>
              <w:rPr>
                <w:rFonts w:ascii="Aptos" w:hAnsi="Aptos"/>
                <w:b w:val="0"/>
                <w:sz w:val="16"/>
              </w:rPr>
              <w:t>App registration, Graph permissions, Function/webhook, subscription renewal, monitoring.</w:t>
            </w:r>
          </w:p>
        </w:tc>
      </w:tr>
      <w:tr>
        <w:tc>
          <w:tcPr>
            <w:tcW w:type="dxa" w:w="1728"/>
            <w:vAlign w:val="center"/>
            <w:shd w:fill="F2F6FA"/>
          </w:tcPr>
          <w:p>
            <w:pPr>
              <w:spacing w:after="20"/>
            </w:pPr>
            <w:r/>
            <w:r>
              <w:rPr>
                <w:rFonts w:ascii="Aptos" w:hAnsi="Aptos"/>
                <w:b w:val="0"/>
                <w:sz w:val="16"/>
              </w:rPr>
              <w:t>Scheduled ADF</w:t>
            </w:r>
          </w:p>
        </w:tc>
        <w:tc>
          <w:tcPr>
            <w:tcW w:type="dxa" w:w="3384"/>
            <w:vAlign w:val="center"/>
            <w:shd w:fill="F2F6FA"/>
          </w:tcPr>
          <w:p>
            <w:pPr>
              <w:spacing w:after="20"/>
            </w:pPr>
            <w:r/>
            <w:r>
              <w:rPr>
                <w:rFonts w:ascii="Aptos" w:hAnsi="Aptos"/>
                <w:b w:val="0"/>
                <w:sz w:val="16"/>
              </w:rPr>
              <w:t>ADF pipeline/activity runs, integration runtime where applicable, and metadata/API calls.</w:t>
            </w:r>
          </w:p>
        </w:tc>
        <w:tc>
          <w:tcPr>
            <w:tcW w:type="dxa" w:w="3312"/>
            <w:vAlign w:val="center"/>
            <w:shd w:fill="F2F6FA"/>
          </w:tcPr>
          <w:p>
            <w:pPr>
              <w:spacing w:after="20"/>
            </w:pPr>
            <w:r/>
            <w:r>
              <w:rPr>
                <w:rFonts w:ascii="Aptos" w:hAnsi="Aptos"/>
                <w:b w:val="0"/>
                <w:sz w:val="16"/>
              </w:rPr>
              <w:t>Cost depends on schedule frequency and activities; frequent checks run even when no file arrives.</w:t>
            </w:r>
          </w:p>
        </w:tc>
        <w:tc>
          <w:tcPr>
            <w:tcW w:type="dxa" w:w="2592"/>
            <w:vAlign w:val="center"/>
            <w:shd w:fill="F2F6FA"/>
          </w:tcPr>
          <w:p>
            <w:pPr>
              <w:spacing w:after="20"/>
            </w:pPr>
            <w:r/>
            <w:r>
              <w:rPr>
                <w:rFonts w:ascii="Aptos" w:hAnsi="Aptos"/>
                <w:b w:val="0"/>
                <w:sz w:val="16"/>
              </w:rPr>
              <w:t>ADF schedule, file inventory/watermark, SharePoint access.</w:t>
            </w:r>
          </w:p>
        </w:tc>
      </w:tr>
    </w:tbl>
    <w:p>
      <w:pPr>
        <w:spacing w:after="20"/>
      </w:pPr>
    </w:p>
    <w:p>
      <w:pPr>
        <w:pStyle w:val="Heading2"/>
      </w:pPr>
      <w:r>
        <w:t>Cost checklist before approval</w:t>
      </w:r>
    </w:p>
    <w:p>
      <w:pPr>
        <w:pStyle w:val="ListBullet"/>
        <w:spacing w:after="40"/>
      </w:pPr>
      <w:r>
        <w:t>Confirm the Azure region and whether the Logic App will use Consumption or Standard.</w:t>
      </w:r>
    </w:p>
    <w:p>
      <w:pPr>
        <w:pStyle w:val="ListBullet"/>
        <w:spacing w:after="40"/>
      </w:pPr>
      <w:r>
        <w:t>Estimate checks per day, files changed per month, actions per workflow run, and expected ADF runs.</w:t>
      </w:r>
    </w:p>
    <w:p>
      <w:pPr>
        <w:pStyle w:val="ListBullet"/>
        <w:spacing w:after="40"/>
      </w:pPr>
      <w:r>
        <w:t>Confirm whether Power Automate premium connectors or additional licenses are required.</w:t>
      </w:r>
    </w:p>
    <w:p>
      <w:pPr>
        <w:pStyle w:val="ListBullet"/>
        <w:spacing w:after="40"/>
      </w:pPr>
      <w:r>
        <w:t>Include logging/retention, Key Vault or equivalent secret storage, and any network/private endpoint requirements.</w:t>
      </w:r>
    </w:p>
    <w:p>
      <w:pPr>
        <w:pStyle w:val="ListBullet"/>
        <w:spacing w:after="40"/>
      </w:pPr>
      <w:r>
        <w:t>Include implementation, testing, support, and subscription-renewal maintenance effort—not only cloud consumption.</w:t>
      </w:r>
    </w:p>
    <w:p>
      <w:r>
        <w:rPr>
          <w:b/>
        </w:rPr>
        <w:t xml:space="preserve">Official pricing references: </w:t>
      </w:r>
      <w:hyperlink r:id="rId11">
        <w:r>
          <w:rPr>
            <w:color w:val="0563C1"/>
            <w:u w:val="single"/>
          </w:rPr>
          <w:t>Azure Logic Apps pricing</w:t>
        </w:r>
      </w:hyperlink>
      <w:r>
        <w:t xml:space="preserve"> | </w:t>
      </w:r>
      <w:hyperlink r:id="rId12">
        <w:r>
          <w:rPr>
            <w:color w:val="0563C1"/>
            <w:u w:val="single"/>
          </w:rPr>
          <w:t>Azure Data Factory pricing</w:t>
        </w:r>
      </w:hyperlink>
      <w:r>
        <w:t xml:space="preserve"> | </w:t>
      </w:r>
      <w:hyperlink r:id="rId13">
        <w:r>
          <w:rPr>
            <w:color w:val="0563C1"/>
            <w:u w:val="single"/>
          </w:rPr>
          <w:t>Azure Functions pricing</w:t>
        </w:r>
      </w:hyperlink>
      <w:r>
        <w:t xml:space="preserve"> | </w:t>
      </w:r>
      <w:hyperlink r:id="rId14">
        <w:r>
          <w:rPr>
            <w:color w:val="0563C1"/>
            <w:u w:val="single"/>
          </w:rPr>
          <w:t>Power Automate pricing</w:t>
        </w:r>
      </w:hyperlink>
    </w:p>
    <w:p>
      <w:pPr>
        <w:pStyle w:val="Heading1"/>
      </w:pPr>
      <w:r>
        <w:t>8. Recommended design for this use case</w:t>
      </w:r>
    </w:p>
    <w:p>
      <w:r>
        <w:t>Recommended first implementation: Azure Logic Apps + SharePoint connector + ADF pipeline-run API. It is a practical balance of simplicity and low operational overhead for a folder where files arrive irregularly.</w:t>
      </w:r>
    </w:p>
    <w:p>
      <w:pPr>
        <w:pStyle w:val="ListBullet"/>
        <w:spacing w:after="40"/>
      </w:pPr>
      <w:r>
        <w:t>Configure the trigger for the exact SharePoint site, document library, and folder; select the created-or-modified trigger.</w:t>
      </w:r>
    </w:p>
    <w:p>
      <w:pPr>
        <w:pStyle w:val="ListBullet"/>
        <w:spacing w:after="40"/>
      </w:pPr>
      <w:r>
        <w:t>Filter to expected file types and ignore temporary/unwanted files.</w:t>
      </w:r>
    </w:p>
    <w:p>
      <w:pPr>
        <w:pStyle w:val="ListBullet"/>
        <w:spacing w:after="40"/>
      </w:pPr>
      <w:r>
        <w:t>Use the file ID/path, modified timestamp, and optionally file size/ETag to identify the change.</w:t>
      </w:r>
    </w:p>
    <w:p>
      <w:pPr>
        <w:pStyle w:val="ListBullet"/>
        <w:spacing w:after="40"/>
      </w:pPr>
      <w:r>
        <w:t>Check that the file is ready (for example, metadata is stable across a short delay or the source process marks it complete).</w:t>
      </w:r>
    </w:p>
    <w:p>
      <w:pPr>
        <w:pStyle w:val="ListBullet"/>
        <w:spacing w:after="40"/>
      </w:pPr>
      <w:r>
        <w:t>Check a small control table/log for the file ID + modified version so the same version is not processed twice.</w:t>
      </w:r>
    </w:p>
    <w:p>
      <w:pPr>
        <w:pStyle w:val="ListBullet"/>
        <w:spacing w:after="40"/>
      </w:pPr>
      <w:r>
        <w:t>Call the ADF pipeline-run API and pass file metadata as parameters.</w:t>
      </w:r>
    </w:p>
    <w:p>
      <w:pPr>
        <w:pStyle w:val="ListBullet"/>
        <w:spacing w:after="40"/>
      </w:pPr>
      <w:r>
        <w:t>Record detection time, file name/ID, modified time, ADF run ID, status, and error details.</w:t>
      </w:r>
    </w:p>
    <w:p>
      <w:pPr>
        <w:pStyle w:val="ListBullet"/>
        <w:spacing w:after="40"/>
      </w:pPr>
      <w:r>
        <w:t>Add retry/alerting and a daily or periodic reconciliation check to find changes that were not processed.</w:t>
      </w:r>
    </w:p>
    <w:p>
      <w:pPr>
        <w:pStyle w:val="Heading1"/>
      </w:pPr>
      <w:r>
        <w:t>9. Decision guide</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1F4E78"/>
          </w:tcPr>
          <w:p>
            <w:pPr>
              <w:spacing w:after="20"/>
            </w:pPr>
            <w:r/>
            <w:r>
              <w:rPr>
                <w:rFonts w:ascii="Aptos" w:hAnsi="Aptos"/>
                <w:b/>
                <w:color w:val="FFFFFF"/>
                <w:sz w:val="17"/>
              </w:rPr>
              <w:t>Need</w:t>
            </w:r>
          </w:p>
        </w:tc>
        <w:tc>
          <w:tcPr>
            <w:tcW w:type="dxa" w:w="5760"/>
            <w:vAlign w:val="center"/>
            <w:shd w:fill="1F4E78"/>
          </w:tcPr>
          <w:p>
            <w:pPr>
              <w:spacing w:after="20"/>
            </w:pPr>
            <w:r/>
            <w:r>
              <w:rPr>
                <w:rFonts w:ascii="Aptos" w:hAnsi="Aptos"/>
                <w:b/>
                <w:color w:val="FFFFFF"/>
                <w:sz w:val="17"/>
              </w:rPr>
              <w:t>Suggested choice</w:t>
            </w:r>
          </w:p>
        </w:tc>
      </w:tr>
      <w:tr>
        <w:tc>
          <w:tcPr>
            <w:tcW w:type="dxa" w:w="5040"/>
            <w:vAlign w:val="center"/>
          </w:tcPr>
          <w:p>
            <w:pPr>
              <w:spacing w:after="20"/>
            </w:pPr>
            <w:r/>
            <w:r>
              <w:rPr>
                <w:rFonts w:ascii="Aptos" w:hAnsi="Aptos"/>
                <w:b w:val="0"/>
                <w:sz w:val="16"/>
              </w:rPr>
              <w:t>Simplest managed setup; a small delay is acceptable</w:t>
            </w:r>
          </w:p>
        </w:tc>
        <w:tc>
          <w:tcPr>
            <w:tcW w:type="dxa" w:w="5760"/>
            <w:vAlign w:val="center"/>
          </w:tcPr>
          <w:p>
            <w:pPr>
              <w:spacing w:after="20"/>
            </w:pPr>
            <w:r/>
            <w:r>
              <w:rPr>
                <w:rFonts w:ascii="Aptos" w:hAnsi="Aptos"/>
                <w:b w:val="0"/>
                <w:sz w:val="16"/>
              </w:rPr>
              <w:t>Azure Logic Apps + SharePoint connector</w:t>
            </w:r>
          </w:p>
        </w:tc>
      </w:tr>
      <w:tr>
        <w:tc>
          <w:tcPr>
            <w:tcW w:type="dxa" w:w="5040"/>
            <w:vAlign w:val="center"/>
            <w:shd w:fill="F2F6FA"/>
          </w:tcPr>
          <w:p>
            <w:pPr>
              <w:spacing w:after="20"/>
            </w:pPr>
            <w:r/>
            <w:r>
              <w:rPr>
                <w:rFonts w:ascii="Aptos" w:hAnsi="Aptos"/>
                <w:b w:val="0"/>
                <w:sz w:val="16"/>
              </w:rPr>
              <w:t>Power Automate is already standard and licensed in the organization</w:t>
            </w:r>
          </w:p>
        </w:tc>
        <w:tc>
          <w:tcPr>
            <w:tcW w:type="dxa" w:w="5760"/>
            <w:vAlign w:val="center"/>
            <w:shd w:fill="F2F6FA"/>
          </w:tcPr>
          <w:p>
            <w:pPr>
              <w:spacing w:after="20"/>
            </w:pPr>
            <w:r/>
            <w:r>
              <w:rPr>
                <w:rFonts w:ascii="Aptos" w:hAnsi="Aptos"/>
                <w:b w:val="0"/>
                <w:sz w:val="16"/>
              </w:rPr>
              <w:t>Power Automate, after confirming the ADF call method and licensing</w:t>
            </w:r>
          </w:p>
        </w:tc>
      </w:tr>
      <w:tr>
        <w:tc>
          <w:tcPr>
            <w:tcW w:type="dxa" w:w="5040"/>
            <w:vAlign w:val="center"/>
          </w:tcPr>
          <w:p>
            <w:pPr>
              <w:spacing w:after="20"/>
            </w:pPr>
            <w:r/>
            <w:r>
              <w:rPr>
                <w:rFonts w:ascii="Aptos" w:hAnsi="Aptos"/>
                <w:b w:val="0"/>
                <w:sz w:val="16"/>
              </w:rPr>
              <w:t>Near-real-time event-driven design and more engineering support is available</w:t>
            </w:r>
          </w:p>
        </w:tc>
        <w:tc>
          <w:tcPr>
            <w:tcW w:type="dxa" w:w="5760"/>
            <w:vAlign w:val="center"/>
          </w:tcPr>
          <w:p>
            <w:pPr>
              <w:spacing w:after="20"/>
            </w:pPr>
            <w:r/>
            <w:r>
              <w:rPr>
                <w:rFonts w:ascii="Aptos" w:hAnsi="Aptos"/>
                <w:b w:val="0"/>
                <w:sz w:val="16"/>
              </w:rPr>
              <w:t>Microsoft Graph change notifications + Azure Function/webhook</w:t>
            </w:r>
          </w:p>
        </w:tc>
      </w:tr>
      <w:tr>
        <w:tc>
          <w:tcPr>
            <w:tcW w:type="dxa" w:w="5040"/>
            <w:vAlign w:val="center"/>
            <w:shd w:fill="F2F6FA"/>
          </w:tcPr>
          <w:p>
            <w:pPr>
              <w:spacing w:after="20"/>
            </w:pPr>
            <w:r/>
            <w:r>
              <w:rPr>
                <w:rFonts w:ascii="Aptos" w:hAnsi="Aptos"/>
                <w:b w:val="0"/>
                <w:sz w:val="16"/>
              </w:rPr>
              <w:t>Event-based design is not approved; delay until next check is acceptable</w:t>
            </w:r>
          </w:p>
        </w:tc>
        <w:tc>
          <w:tcPr>
            <w:tcW w:type="dxa" w:w="5760"/>
            <w:vAlign w:val="center"/>
            <w:shd w:fill="F2F6FA"/>
          </w:tcPr>
          <w:p>
            <w:pPr>
              <w:spacing w:after="20"/>
            </w:pPr>
            <w:r/>
            <w:r>
              <w:rPr>
                <w:rFonts w:ascii="Aptos" w:hAnsi="Aptos"/>
                <w:b w:val="0"/>
                <w:sz w:val="16"/>
              </w:rPr>
              <w:t>Scheduled ADF polling, ideally with a file inventory/watermark</w:t>
            </w:r>
          </w:p>
        </w:tc>
      </w:tr>
    </w:tbl>
    <w:p>
      <w:pPr>
        <w:spacing w:after="20"/>
      </w:pPr>
    </w:p>
    <w:p>
      <w:pPr>
        <w:pStyle w:val="Heading1"/>
      </w:pPr>
      <w:r>
        <w:t>10. Risks and controls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8"/>
          </w:tcPr>
          <w:p>
            <w:pPr>
              <w:spacing w:after="20"/>
            </w:pPr>
            <w:r/>
            <w:r>
              <w:rPr>
                <w:rFonts w:ascii="Aptos" w:hAnsi="Aptos"/>
                <w:b/>
                <w:color w:val="FFFFFF"/>
                <w:sz w:val="17"/>
              </w:rPr>
              <w:t>Risk</w:t>
            </w:r>
          </w:p>
        </w:tc>
        <w:tc>
          <w:tcPr>
            <w:tcW w:type="dxa" w:w="6480"/>
            <w:vAlign w:val="center"/>
            <w:shd w:fill="1F4E78"/>
          </w:tcPr>
          <w:p>
            <w:pPr>
              <w:spacing w:after="20"/>
            </w:pPr>
            <w:r/>
            <w:r>
              <w:rPr>
                <w:rFonts w:ascii="Aptos" w:hAnsi="Aptos"/>
                <w:b/>
                <w:color w:val="FFFFFF"/>
                <w:sz w:val="17"/>
              </w:rPr>
              <w:t>Control</w:t>
            </w:r>
          </w:p>
        </w:tc>
      </w:tr>
      <w:tr>
        <w:tc>
          <w:tcPr>
            <w:tcW w:type="dxa" w:w="4320"/>
            <w:vAlign w:val="center"/>
          </w:tcPr>
          <w:p>
            <w:pPr>
              <w:spacing w:after="20"/>
            </w:pPr>
            <w:r/>
            <w:r>
              <w:rPr>
                <w:rFonts w:ascii="Aptos" w:hAnsi="Aptos"/>
                <w:b w:val="0"/>
                <w:sz w:val="16"/>
              </w:rPr>
              <w:t>Same file triggers more than once</w:t>
            </w:r>
          </w:p>
        </w:tc>
        <w:tc>
          <w:tcPr>
            <w:tcW w:type="dxa" w:w="6480"/>
            <w:vAlign w:val="center"/>
          </w:tcPr>
          <w:p>
            <w:pPr>
              <w:spacing w:after="20"/>
            </w:pPr>
            <w:r/>
            <w:r>
              <w:rPr>
                <w:rFonts w:ascii="Aptos" w:hAnsi="Aptos"/>
                <w:b w:val="0"/>
                <w:sz w:val="16"/>
              </w:rPr>
              <w:t>Idempotency check using file ID plus modified timestamp/ETag; do not rely on filename alone.</w:t>
            </w:r>
          </w:p>
        </w:tc>
      </w:tr>
      <w:tr>
        <w:tc>
          <w:tcPr>
            <w:tcW w:type="dxa" w:w="4320"/>
            <w:vAlign w:val="center"/>
            <w:shd w:fill="F2F6FA"/>
          </w:tcPr>
          <w:p>
            <w:pPr>
              <w:spacing w:after="20"/>
            </w:pPr>
            <w:r/>
            <w:r>
              <w:rPr>
                <w:rFonts w:ascii="Aptos" w:hAnsi="Aptos"/>
                <w:b w:val="0"/>
                <w:sz w:val="16"/>
              </w:rPr>
              <w:t>File is still uploading or being edited</w:t>
            </w:r>
          </w:p>
        </w:tc>
        <w:tc>
          <w:tcPr>
            <w:tcW w:type="dxa" w:w="6480"/>
            <w:vAlign w:val="center"/>
            <w:shd w:fill="F2F6FA"/>
          </w:tcPr>
          <w:p>
            <w:pPr>
              <w:spacing w:after="20"/>
            </w:pPr>
            <w:r/>
            <w:r>
              <w:rPr>
                <w:rFonts w:ascii="Aptos" w:hAnsi="Aptos"/>
                <w:b w:val="0"/>
                <w:sz w:val="16"/>
              </w:rPr>
              <w:t>Readiness/stability check before starting the full ingestion.</w:t>
            </w:r>
          </w:p>
        </w:tc>
      </w:tr>
      <w:tr>
        <w:tc>
          <w:tcPr>
            <w:tcW w:type="dxa" w:w="4320"/>
            <w:vAlign w:val="center"/>
          </w:tcPr>
          <w:p>
            <w:pPr>
              <w:spacing w:after="20"/>
            </w:pPr>
            <w:r/>
            <w:r>
              <w:rPr>
                <w:rFonts w:ascii="Aptos" w:hAnsi="Aptos"/>
                <w:b w:val="0"/>
                <w:sz w:val="16"/>
              </w:rPr>
              <w:t>Connector/API throttling or transient errors</w:t>
            </w:r>
          </w:p>
        </w:tc>
        <w:tc>
          <w:tcPr>
            <w:tcW w:type="dxa" w:w="6480"/>
            <w:vAlign w:val="center"/>
          </w:tcPr>
          <w:p>
            <w:pPr>
              <w:spacing w:after="20"/>
            </w:pPr>
            <w:r/>
            <w:r>
              <w:rPr>
                <w:rFonts w:ascii="Aptos" w:hAnsi="Aptos"/>
                <w:b w:val="0"/>
                <w:sz w:val="16"/>
              </w:rPr>
              <w:t>Retry with backoff; log failures and alert an owner.</w:t>
            </w:r>
          </w:p>
        </w:tc>
      </w:tr>
      <w:tr>
        <w:tc>
          <w:tcPr>
            <w:tcW w:type="dxa" w:w="4320"/>
            <w:vAlign w:val="center"/>
            <w:shd w:fill="F2F6FA"/>
          </w:tcPr>
          <w:p>
            <w:pPr>
              <w:spacing w:after="20"/>
            </w:pPr>
            <w:r/>
            <w:r>
              <w:rPr>
                <w:rFonts w:ascii="Aptos" w:hAnsi="Aptos"/>
                <w:b w:val="0"/>
                <w:sz w:val="16"/>
              </w:rPr>
              <w:t>Graph subscription expires (Graph option)</w:t>
            </w:r>
          </w:p>
        </w:tc>
        <w:tc>
          <w:tcPr>
            <w:tcW w:type="dxa" w:w="6480"/>
            <w:vAlign w:val="center"/>
            <w:shd w:fill="F2F6FA"/>
          </w:tcPr>
          <w:p>
            <w:pPr>
              <w:spacing w:after="20"/>
            </w:pPr>
            <w:r/>
            <w:r>
              <w:rPr>
                <w:rFonts w:ascii="Aptos" w:hAnsi="Aptos"/>
                <w:b w:val="0"/>
                <w:sz w:val="16"/>
              </w:rPr>
              <w:t>Automated renewal and expiry alerts; periodic reconciliation.</w:t>
            </w:r>
          </w:p>
        </w:tc>
      </w:tr>
      <w:tr>
        <w:tc>
          <w:tcPr>
            <w:tcW w:type="dxa" w:w="4320"/>
            <w:vAlign w:val="center"/>
          </w:tcPr>
          <w:p>
            <w:pPr>
              <w:spacing w:after="20"/>
            </w:pPr>
            <w:r/>
            <w:r>
              <w:rPr>
                <w:rFonts w:ascii="Aptos" w:hAnsi="Aptos"/>
                <w:b w:val="0"/>
                <w:sz w:val="16"/>
              </w:rPr>
              <w:t>Event is missed or workflow is disabled</w:t>
            </w:r>
          </w:p>
        </w:tc>
        <w:tc>
          <w:tcPr>
            <w:tcW w:type="dxa" w:w="6480"/>
            <w:vAlign w:val="center"/>
          </w:tcPr>
          <w:p>
            <w:pPr>
              <w:spacing w:after="20"/>
            </w:pPr>
            <w:r/>
            <w:r>
              <w:rPr>
                <w:rFonts w:ascii="Aptos" w:hAnsi="Aptos"/>
                <w:b w:val="0"/>
                <w:sz w:val="16"/>
              </w:rPr>
              <w:t>Periodic inventory comparison and operational alerting.</w:t>
            </w:r>
          </w:p>
        </w:tc>
      </w:tr>
      <w:tr>
        <w:tc>
          <w:tcPr>
            <w:tcW w:type="dxa" w:w="4320"/>
            <w:vAlign w:val="center"/>
            <w:shd w:fill="F2F6FA"/>
          </w:tcPr>
          <w:p>
            <w:pPr>
              <w:spacing w:after="20"/>
            </w:pPr>
            <w:r/>
            <w:r>
              <w:rPr>
                <w:rFonts w:ascii="Aptos" w:hAnsi="Aptos"/>
                <w:b w:val="0"/>
                <w:sz w:val="16"/>
              </w:rPr>
              <w:t>Unauthorized pipeline start or exposed credentials</w:t>
            </w:r>
          </w:p>
        </w:tc>
        <w:tc>
          <w:tcPr>
            <w:tcW w:type="dxa" w:w="6480"/>
            <w:vAlign w:val="center"/>
            <w:shd w:fill="F2F6FA"/>
          </w:tcPr>
          <w:p>
            <w:pPr>
              <w:spacing w:after="20"/>
            </w:pPr>
            <w:r/>
            <w:r>
              <w:rPr>
                <w:rFonts w:ascii="Aptos" w:hAnsi="Aptos"/>
                <w:b w:val="0"/>
                <w:sz w:val="16"/>
              </w:rPr>
              <w:t>Least-privilege identity, secure secret storage, and approved access controls.</w:t>
            </w:r>
          </w:p>
        </w:tc>
      </w:tr>
    </w:tbl>
    <w:p>
      <w:pPr>
        <w:spacing w:after="20"/>
      </w:pPr>
    </w:p>
    <w:p>
      <w:pPr>
        <w:pStyle w:val="Heading1"/>
      </w:pPr>
      <w:r>
        <w:t>11. Official documentation</w:t>
      </w:r>
    </w:p>
    <w:p>
      <w:pPr>
        <w:pStyle w:val="ListBullet"/>
      </w:pPr>
      <w:hyperlink r:id="rId15">
        <w:r>
          <w:rPr>
            <w:color w:val="0563C1"/>
            <w:u w:val="single"/>
          </w:rPr>
          <w:t>SharePoint connector triggers and actions (Microsoft Learn)</w:t>
        </w:r>
      </w:hyperlink>
    </w:p>
    <w:p>
      <w:pPr>
        <w:pStyle w:val="ListBullet"/>
      </w:pPr>
      <w:hyperlink r:id="rId16">
        <w:r>
          <w:rPr>
            <w:color w:val="0563C1"/>
            <w:u w:val="single"/>
          </w:rPr>
          <w:t>Microsoft Graph change notifications overview</w:t>
        </w:r>
      </w:hyperlink>
    </w:p>
    <w:p>
      <w:pPr>
        <w:pStyle w:val="ListBullet"/>
      </w:pPr>
      <w:hyperlink r:id="rId17">
        <w:r>
          <w:rPr>
            <w:color w:val="0563C1"/>
            <w:u w:val="single"/>
          </w:rPr>
          <w:t>Receive change notifications through webhooks</w:t>
        </w:r>
      </w:hyperlink>
    </w:p>
    <w:p>
      <w:pPr>
        <w:pStyle w:val="ListBullet"/>
      </w:pPr>
      <w:hyperlink r:id="rId18">
        <w:r>
          <w:rPr>
            <w:color w:val="0563C1"/>
            <w:u w:val="single"/>
          </w:rPr>
          <w:t>Create a Microsoft Graph subscription</w:t>
        </w:r>
      </w:hyperlink>
    </w:p>
    <w:p>
      <w:pPr>
        <w:pStyle w:val="ListBullet"/>
      </w:pPr>
      <w:hyperlink r:id="rId19">
        <w:r>
          <w:rPr>
            <w:color w:val="0563C1"/>
            <w:u w:val="single"/>
          </w:rPr>
          <w:t>Azure Logic Apps connector trigger patterns</w:t>
        </w:r>
      </w:hyperlink>
    </w:p>
    <w:p>
      <w:pPr>
        <w:spacing w:before="160"/>
      </w:pPr>
      <w:r>
        <w:rPr>
          <w:b/>
        </w:rPr>
        <w:t xml:space="preserve">Note: </w:t>
      </w:r>
      <w:r>
        <w:t>This is a design comparison, not a formal price quote. Validate current connector behavior, permissions, licensing, regional prices, and service limits with your Azure/Microsoft 365 administrators before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Solution options | Prepared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SHAREPOINT → ADF | FILE CHANGE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zure.microsoft.com/pricing/details/logic-apps/" TargetMode="External"/><Relationship Id="rId12" Type="http://schemas.openxmlformats.org/officeDocument/2006/relationships/hyperlink" Target="https://azure.microsoft.com/pricing/details/data-factory/" TargetMode="External"/><Relationship Id="rId13" Type="http://schemas.openxmlformats.org/officeDocument/2006/relationships/hyperlink" Target="https://azure.microsoft.com/pricing/details/functions/" TargetMode="External"/><Relationship Id="rId14" Type="http://schemas.openxmlformats.org/officeDocument/2006/relationships/hyperlink" Target="https://www.microsoft.com/power-platform/products/power-automate/pricing" TargetMode="External"/><Relationship Id="rId15" Type="http://schemas.openxmlformats.org/officeDocument/2006/relationships/hyperlink" Target="https://learn.microsoft.com/en-us/connectors/sharepointonline/" TargetMode="External"/><Relationship Id="rId16" Type="http://schemas.openxmlformats.org/officeDocument/2006/relationships/hyperlink" Target="https://learn.microsoft.com/en-us/graph/change-notifications-overview" TargetMode="External"/><Relationship Id="rId17" Type="http://schemas.openxmlformats.org/officeDocument/2006/relationships/hyperlink" Target="https://learn.microsoft.com/en-us/graph/change-notifications-delivery-webhooks" TargetMode="External"/><Relationship Id="rId18" Type="http://schemas.openxmlformats.org/officeDocument/2006/relationships/hyperlink" Target="https://learn.microsoft.com/en-us/graph/api/subscription-post-subscriptions?view=graph-rest-1.0" TargetMode="External"/><Relationship Id="rId19" Type="http://schemas.openxmlformats.org/officeDocument/2006/relationships/hyperlink" Target="https://learn.microsoft.com/en-us/azure/connector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