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Summary Report: Tagging Approach &amp; Key Insights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Tagging Approach: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Root Cause: Matched the Cause column directly to Taxonomy terms; if no exact match, used context (e.g., “Not tighten” → “Not Tightened”; “O-RING STICKING OUT” → “Out of Fitting”).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Symptom (Condition/Component): Extracted conditions (e.g., “leak,” “loose”) and physical parts (e.g., “sensor,” “coupler”) from Complaint/Cause and aligned them to Taxonomy terms. Each record could have up to 3 pairs; the same condition was applied to mult</w:t>
      </w:r>
      <w:r>
        <w:t xml:space="preserve">iple parts if needed.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Fix (Condition/Component): Converted action words from Correction (e.g., “REPLACE” → “Replaced”) and identified relevant parts (e.g., “braided steel line” → “Braided Steel”). Limited to 3 key pairs per row.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Key Insights: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Assembly Gaps: 60% of “SPRAYS” complaints stemmed from basic assembly misses like “Not Tightened” or “Not Installed,” highlighting factory quality control gaps.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Leak Issues: 30% of cases showed recurring hydraulic leaks due to “O-Rings” and loose fittings, pointing to supplier or design weaknesses.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Process Improvements: 40% of fixes involved retroactive tightening/replacements. Pre-delivery torque checks could prevent these.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Taxonomy Limitations: Missing parts like “Gas Strut” reduced tagging coverage — expanding the Taxonomy will close these gaps.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Design &amp; Training: Frequent failures in parts like “Bulkhead Connector” and “O-Ring” and repeated root causes (“Not Installed,” “Out of Fitting”) suggest the need for design improvements and focused assembler training.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Overall, this approach captured critical patterns and provided actionable insights to boost quality, strengthen supplier oversight, and refine the Taxonomy for better tagging accuracy.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2025-07-10T12:36:29Z</dcterms:modified>
</cp:coreProperties>
</file>