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Project Report</w:t>
      </w:r>
    </w:p>
    <w:p>
      <w:pPr>
        <w:pStyle w:val="Heading2"/>
      </w:pPr>
      <w:r>
        <w:t>Objective</w:t>
      </w:r>
    </w:p>
    <w:p>
      <w:r>
        <w:t>To predict cryptocurrency volatility using machine learning.</w:t>
      </w:r>
    </w:p>
    <w:p>
      <w:pPr>
        <w:pStyle w:val="Heading2"/>
      </w:pPr>
      <w:r>
        <w:t>Dataset</w:t>
      </w:r>
    </w:p>
    <w:p>
      <w:r>
        <w:t>Historical OHLCV cryptocurrency dataset.</w:t>
      </w:r>
    </w:p>
    <w:p>
      <w:pPr>
        <w:pStyle w:val="Heading2"/>
      </w:pPr>
      <w:r>
        <w:t>Methodology</w:t>
      </w:r>
    </w:p>
    <w:p>
      <w:r>
        <w:t>EDA, preprocessing, feature engineering, model training, evaluation.</w:t>
      </w:r>
    </w:p>
    <w:p>
      <w:pPr>
        <w:pStyle w:val="Heading2"/>
      </w:pPr>
      <w:r>
        <w:t>Conclusion</w:t>
      </w:r>
    </w:p>
    <w:p>
      <w:r>
        <w:t>Machine learning models can effectively estimate volatility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