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r>
        <w:rPr>
          <w:b/>
          <w:bCs/>
        </w:rPr>
        <w:t>Detailed Progress Report: Multi-Parameter Milk Adulteration Detection</w:t>
      </w:r>
    </w:p>
    <w:p>
      <w:pPr>
        <w:pStyle w:val="style0"/>
        <w:rPr/>
      </w:pPr>
      <w:r>
        <w:rPr>
          <w:b/>
          <w:bCs/>
        </w:rPr>
        <w:t>Project Phase:</w:t>
      </w:r>
      <w:r>
        <w:t xml:space="preserve"> Week 1 – Data Acquisition, Harmonization, and Exploratory Analysis</w:t>
      </w:r>
    </w:p>
    <w:p>
      <w:pPr>
        <w:pStyle w:val="style0"/>
        <w:rPr/>
      </w:pPr>
      <w:r>
        <w:rPr>
          <w:b/>
          <w:bCs/>
        </w:rPr>
        <w:t>Project Objective:</w:t>
      </w:r>
      <w:r>
        <w:t xml:space="preserve"> To develop a high-efficiency detection system that improves upon single-parameter morphological methods by integrating chemical, physical, and spectral markers.</w:t>
      </w:r>
    </w:p>
    <w:p>
      <w:pPr>
        <w:pStyle w:val="style0"/>
        <w:rPr/>
      </w:pPr>
      <w:r>
        <w:rPr>
          <w:b/>
          <w:bCs/>
        </w:rPr>
        <w:t>Submitted by</w:t>
      </w:r>
      <w:r>
        <w:t>- Swara Reddy(24BAI1109) , Srijan Prasad (24BAI1225)</w:t>
      </w:r>
    </w:p>
    <w:p>
      <w:pPr>
        <w:pStyle w:val="style0"/>
        <w:rPr/>
      </w:pPr>
      <w:r>
        <w:rPr>
          <w:b/>
          <w:bCs/>
        </w:rPr>
        <w:t>Date</w:t>
      </w:r>
      <w:r>
        <w:t>- 21-01-2026</w:t>
      </w:r>
    </w:p>
    <w:p>
      <w:pPr>
        <w:pStyle w:val="style0"/>
        <w:rPr/>
      </w:pPr>
      <w:r>
        <w:rPr/>
        <w:pict>
          <v:rect id="1026" fillcolor="#a0a0a0" stroked="f" style="margin-left:0.0pt;margin-top:0.0pt;width:0.0pt;height:1.5pt;mso-wrap-distance-left:0.0pt;mso-wrap-distance-right:0.0pt;visibility:visible;" o:hr="t" o:hralign="center" o:hrstd="t">
            <v:stroke on="f"/>
            <v:fill/>
          </v:rect>
        </w:pict>
      </w:r>
    </w:p>
    <w:p>
      <w:pPr>
        <w:pStyle w:val="style0"/>
        <w:rPr>
          <w:b/>
          <w:bCs/>
        </w:rPr>
      </w:pPr>
      <w:r>
        <w:rPr>
          <w:b/>
          <w:bCs/>
        </w:rPr>
        <w:t>I. Introduction</w:t>
      </w:r>
    </w:p>
    <w:p>
      <w:pPr>
        <w:pStyle w:val="style0"/>
        <w:rPr/>
      </w:pPr>
      <w:r>
        <w:t xml:space="preserve">Milk adulteration is a significant global health and economic concern, necessitating the development of rapid and accurate detection technologies. The baseline for this research is the 2025 study on dried milk droplets, which utilized NaCl to modulate crystallization and lacunarity for pattern recognition. While that study achieved an accuracy of </w:t>
      </w:r>
      <w:r>
        <w:t>9</w:t>
      </w:r>
      <w:r>
        <w:t>5.22</w:t>
      </w:r>
      <w:r>
        <w:t>%+</w:t>
      </w:r>
      <w:r>
        <w:t>-</w:t>
      </w:r>
      <w:r>
        <w:t>4.47% using deep learning, it faced limitations in sensitivity when detecting low-level water adulteration in specific milk types without additives.</w:t>
      </w:r>
    </w:p>
    <w:p>
      <w:pPr>
        <w:pStyle w:val="style0"/>
        <w:rPr/>
      </w:pPr>
      <w:r>
        <w:t>The current research proposes a multi-modal framework. By combining physical parameters (pH, temperature), compositional data (fat, protein), and optical signatures (hyperspectral reflectance), this study aims to create a "Global Milk Integrity Index" that exceeds the precision and stability of existing morphological methods.</w:t>
      </w:r>
    </w:p>
    <w:p>
      <w:pPr>
        <w:pStyle w:val="style0"/>
        <w:rPr/>
      </w:pPr>
      <w:r>
        <w:rPr/>
        <w:pict>
          <v:rect id="1027" fillcolor="#a0a0a0" stroked="f" style="margin-left:0.0pt;margin-top:0.0pt;width:0.0pt;height:1.5pt;mso-wrap-distance-left:0.0pt;mso-wrap-distance-right:0.0pt;visibility:visible;" o:hr="t" o:hralign="center" o:hrstd="t">
            <v:stroke on="f"/>
            <v:fill/>
          </v:rect>
        </w:pict>
      </w:r>
    </w:p>
    <w:p>
      <w:pPr>
        <w:pStyle w:val="style0"/>
        <w:rPr>
          <w:b/>
          <w:bCs/>
        </w:rPr>
      </w:pPr>
      <w:r>
        <w:rPr>
          <w:b/>
          <w:bCs/>
        </w:rPr>
        <w:t>II. Methodology</w:t>
      </w:r>
    </w:p>
    <w:p>
      <w:pPr>
        <w:pStyle w:val="style0"/>
        <w:rPr>
          <w:b/>
          <w:bCs/>
        </w:rPr>
      </w:pPr>
      <w:r>
        <w:rPr>
          <w:b/>
          <w:bCs/>
        </w:rPr>
        <w:t>2.1 Computational Setup</w:t>
      </w:r>
    </w:p>
    <w:p>
      <w:pPr>
        <w:pStyle w:val="style0"/>
        <w:rPr/>
      </w:pPr>
      <w:r>
        <w:t>The research environment was established using a cloud-based infrastructure to ensure reproducibility and scalability:</w:t>
      </w:r>
    </w:p>
    <w:p>
      <w:pPr>
        <w:pStyle w:val="style0"/>
        <w:numPr>
          <w:ilvl w:val="0"/>
          <w:numId w:val="1"/>
        </w:numPr>
        <w:rPr/>
      </w:pPr>
      <w:r>
        <w:rPr>
          <w:b/>
          <w:bCs/>
        </w:rPr>
        <w:t>Version Control:</w:t>
      </w:r>
      <w:r>
        <w:t xml:space="preserve"> A dedicated GitHub repository was created to manage code versions and store the harmonized datasets.</w:t>
      </w:r>
    </w:p>
    <w:p>
      <w:pPr>
        <w:pStyle w:val="style0"/>
        <w:numPr>
          <w:ilvl w:val="0"/>
          <w:numId w:val="1"/>
        </w:numPr>
        <w:rPr/>
      </w:pPr>
      <w:r>
        <w:rPr>
          <w:b/>
          <w:bCs/>
        </w:rPr>
        <w:t>Processing Environment:</w:t>
      </w:r>
      <w:r>
        <w:t xml:space="preserve"> Google Colab was selected for its T4 GPU capabilities, which are essential for processing high-dimensional hyperspectral data and training ensemble models.</w:t>
      </w:r>
    </w:p>
    <w:p>
      <w:pPr>
        <w:pStyle w:val="style0"/>
        <w:numPr>
          <w:ilvl w:val="0"/>
          <w:numId w:val="1"/>
        </w:numPr>
        <w:rPr/>
      </w:pPr>
      <w:r>
        <w:rPr>
          <w:b/>
          <w:bCs/>
        </w:rPr>
        <w:t>Libraries:</w:t>
      </w:r>
      <w:r>
        <w:t xml:space="preserve"> The project utilizes pandas for data manipulation, scikit-learn for preprocessing and scaling, and seaborn for data visualization.</w:t>
      </w:r>
    </w:p>
    <w:p>
      <w:pPr>
        <w:pStyle w:val="style0"/>
        <w:rPr>
          <w:b/>
          <w:bCs/>
        </w:rPr>
      </w:pPr>
      <w:r>
        <w:rPr>
          <w:b/>
          <w:bCs/>
        </w:rPr>
        <w:t>2.2 Data Acquisition &amp; Sources</w:t>
      </w:r>
    </w:p>
    <w:p>
      <w:pPr>
        <w:pStyle w:val="style0"/>
        <w:rPr/>
      </w:pPr>
      <w:r>
        <w:t>To provide a holistic view of milk quality, three distinct datasets were acquired and integrated:</w:t>
      </w:r>
    </w:p>
    <w:p>
      <w:pPr>
        <w:pStyle w:val="style0"/>
        <w:numPr>
          <w:ilvl w:val="0"/>
          <w:numId w:val="2"/>
        </w:numPr>
        <w:rPr/>
      </w:pPr>
      <w:r>
        <w:rPr>
          <w:b/>
          <w:bCs/>
        </w:rPr>
        <w:t>Kaggle Milk Quality Dataset:</w:t>
      </w:r>
      <w:r>
        <w:t xml:space="preserve"> Provides 1,059 samples with basic quality indicators: pH, Temperature, Taste, Odor, Fat, Turbidity, and Color.</w:t>
      </w:r>
    </w:p>
    <w:p>
      <w:pPr>
        <w:pStyle w:val="style0"/>
        <w:numPr>
          <w:ilvl w:val="0"/>
          <w:numId w:val="2"/>
        </w:numPr>
        <w:rPr/>
      </w:pPr>
      <w:r>
        <w:rPr>
          <w:b/>
          <w:bCs/>
        </w:rPr>
        <w:t>MADS (Milk Adulteration Detection System) Dataset:</w:t>
      </w:r>
      <w:r>
        <w:t xml:space="preserve"> An IoT-based dataset providing deeper compositional and electrochemical markers: Electrical Conductivity (EC), Solids-Not-Fat (SNF), Protein, and Lactose.</w:t>
      </w:r>
    </w:p>
    <w:p>
      <w:pPr>
        <w:pStyle w:val="style0"/>
        <w:numPr>
          <w:ilvl w:val="0"/>
          <w:numId w:val="2"/>
        </w:numPr>
        <w:rPr/>
      </w:pPr>
      <w:r>
        <w:rPr>
          <w:b/>
          <w:bCs/>
        </w:rPr>
        <w:t>HSI-ML Dataset:</w:t>
      </w:r>
      <w:r>
        <w:t xml:space="preserve"> A specialized hyperspectral imaging dataset providing optical signatures and reflectance values across the 410–940 nm range.</w:t>
      </w:r>
    </w:p>
    <w:p>
      <w:pPr>
        <w:pStyle w:val="style0"/>
        <w:rPr>
          <w:b/>
          <w:bCs/>
        </w:rPr>
      </w:pPr>
      <w:r>
        <w:rPr>
          <w:b/>
          <w:bCs/>
        </w:rPr>
        <w:t>2.3 Data Harmonization and Preprocessing</w:t>
      </w:r>
    </w:p>
    <w:p>
      <w:pPr>
        <w:pStyle w:val="style0"/>
        <w:rPr/>
      </w:pPr>
      <w:r>
        <w:t>The primary task of Week 1 was the unification of these sources into a "Master Schema":</w:t>
      </w:r>
    </w:p>
    <w:p>
      <w:pPr>
        <w:pStyle w:val="style0"/>
        <w:numPr>
          <w:ilvl w:val="0"/>
          <w:numId w:val="3"/>
        </w:numPr>
        <w:rPr/>
      </w:pPr>
      <w:r>
        <w:rPr>
          <w:b/>
          <w:bCs/>
        </w:rPr>
        <w:t>Column Cleaning:</w:t>
      </w:r>
      <w:r>
        <w:t xml:space="preserve"> Removed hidden white spaces and standardized nomenclature across datasets.</w:t>
      </w:r>
    </w:p>
    <w:p>
      <w:pPr>
        <w:pStyle w:val="style0"/>
        <w:numPr>
          <w:ilvl w:val="0"/>
          <w:numId w:val="3"/>
        </w:numPr>
        <w:rPr/>
      </w:pPr>
      <w:r>
        <w:rPr>
          <w:b/>
          <w:bCs/>
        </w:rPr>
        <w:t>Label Alignment:</w:t>
      </w:r>
      <w:r>
        <w:t xml:space="preserve"> Categorical quality grades (high, medium, low) were mapped to a standardized numerical scale ($2, 1, 0$).</w:t>
      </w:r>
    </w:p>
    <w:p>
      <w:pPr>
        <w:pStyle w:val="style0"/>
        <w:numPr>
          <w:ilvl w:val="0"/>
          <w:numId w:val="3"/>
        </w:numPr>
        <w:rPr/>
      </w:pPr>
      <w:r>
        <w:rPr>
          <w:b/>
          <w:bCs/>
        </w:rPr>
        <w:t>Normalization:</w:t>
      </w:r>
      <w:r>
        <w:t xml:space="preserve"> All numerical features were scaled using a MinMaxScaler ($0$ to $1$) to ensure that chemical markers (like pH) and physical markers (like temperature) are comparable in a unified feature space.</w:t>
      </w:r>
    </w:p>
    <w:p>
      <w:pPr>
        <w:pStyle w:val="style0"/>
        <w:numPr>
          <w:ilvl w:val="0"/>
          <w:numId w:val="3"/>
        </w:numPr>
        <w:rPr/>
      </w:pPr>
      <w:r>
        <w:rPr>
          <w:b/>
          <w:bCs/>
        </w:rPr>
        <w:t>Handling Duplicates:</w:t>
      </w:r>
      <w:r>
        <w:t xml:space="preserve"> Identified 976 duplicated rows in the Kaggle data, which are being audited to determine if they represent unique sensor trials or redundant data.</w:t>
      </w:r>
    </w:p>
    <w:p>
      <w:pPr>
        <w:pStyle w:val="style0"/>
        <w:rPr/>
      </w:pPr>
      <w:r>
        <w:rPr>
          <w:noProof/>
        </w:rPr>
      </w:r>
      <w:r>
        <w:rPr>
          <w:noProof/>
        </w:rPr>
      </w:r>
      <w:r>
        <w:rPr>
          <w:noProof/>
        </w:rPr>
      </w:r>
      <w:r>
        <w:rPr>
          <w:noProof/>
        </w:rPr>
        <mc:AlternateContent>
          <mc:Choice Requires="wps">
            <w:drawing>
              <wp:inline distL="0" distT="0" distB="0" distR="0">
                <wp:extent cx="304800" cy="304800"/>
                <wp:effectExtent l="0" t="0" r="0" b="0"/>
                <wp:docPr id="1028" name="Rectangle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4800" cy="304800"/>
                        </a:xfrm>
                        <a:prstGeom prst="rect"/>
                        <a:ln>
                          <a:noFill/>
                        </a:ln>
                      </wps:spPr>
                      <wps:bodyPr>
                        <a:prstTxWarp prst="textNoShape"/>
                      </wps:bodyPr>
                    </wps:wsp>
                  </a:graphicData>
                </a:graphic>
              </wp:inline>
            </w:drawing>
          </mc:Choice>
          <mc:Fallback>
            <w:pict>
              <v:rect id="1028" filled="f" stroked="f" style="margin-left:0.0pt;margin-top:0.0pt;width:24.0pt;height:24.0pt;mso-wrap-distance-left:0.0pt;mso-wrap-distance-right:0.0pt;visibility:visible;">
                <w10:anchorlock/>
                <v:stroke on="f"/>
                <v:fill rotate="true"/>
              </v:rect>
            </w:pict>
          </mc:Fallback>
        </mc:AlternateContent>
      </w:r>
      <w:r>
        <w:rPr>
          <w:noProof/>
        </w:rPr>
      </w:r>
      <w:r>
        <w:rPr>
          <w:noProof/>
        </w:rPr>
      </w:r>
      <w:r>
        <w:rPr>
          <w:noProof/>
        </w:rPr>
        <w:drawing>
          <wp:inline distL="0" distT="0" distB="0" distR="0">
            <wp:extent cx="5915025" cy="5657850"/>
            <wp:effectExtent l="0" t="0" r="9525" b="0"/>
            <wp:docPr id="1030"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5915025" cy="5657850"/>
                    </a:xfrm>
                    <a:prstGeom prst="rect"/>
                  </pic:spPr>
                </pic:pic>
              </a:graphicData>
            </a:graphic>
          </wp:inline>
        </w:drawing>
      </w:r>
    </w:p>
    <w:p>
      <w:pPr>
        <w:pStyle w:val="style0"/>
        <w:rPr/>
      </w:pPr>
      <w:r>
        <w:rPr>
          <w:noProof/>
        </w:rPr>
      </w:r>
      <w:r>
        <w:rPr>
          <w:noProof/>
        </w:rPr>
      </w:r>
      <w:r>
        <w:rPr>
          <w:noProof/>
        </w:rPr>
      </w:r>
      <w:r>
        <w:rPr>
          <w:noProof/>
        </w:rPr>
        <mc:AlternateContent>
          <mc:Choice Requires="wps">
            <w:drawing>
              <wp:inline distL="0" distT="0" distB="0" distR="0">
                <wp:extent cx="304800" cy="304800"/>
                <wp:effectExtent l="0" t="0" r="0" b="0"/>
                <wp:docPr id="1031" name="Rectangle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4800" cy="304800"/>
                        </a:xfrm>
                        <a:prstGeom prst="rect"/>
                        <a:ln>
                          <a:noFill/>
                        </a:ln>
                      </wps:spPr>
                      <wps:bodyPr>
                        <a:prstTxWarp prst="textNoShape"/>
                      </wps:bodyPr>
                    </wps:wsp>
                  </a:graphicData>
                </a:graphic>
              </wp:inline>
            </w:drawing>
          </mc:Choice>
          <mc:Fallback>
            <w:pict>
              <v:rect id="1031" filled="f" stroked="f" style="margin-left:0.0pt;margin-top:0.0pt;width:24.0pt;height:24.0pt;mso-wrap-distance-left:0.0pt;mso-wrap-distance-right:0.0pt;visibility:visible;">
                <w10:anchorlock/>
                <v:stroke on="f"/>
                <v:fill rotate="true"/>
              </v:rect>
            </w:pict>
          </mc:Fallback>
        </mc:AlternateContent>
      </w:r>
      <w:r>
        <w:rPr>
          <w:noProof/>
        </w:rPr>
      </w:r>
      <w:r>
        <w:rPr>
          <w:noProof/>
        </w:rPr>
      </w:r>
      <w:r>
        <w:rPr>
          <w:noProof/>
        </w:rPr>
        <w:drawing>
          <wp:inline distL="0" distT="0" distB="0" distR="0">
            <wp:extent cx="6200775" cy="3594165"/>
            <wp:effectExtent l="0" t="0" r="0" b="6350"/>
            <wp:docPr id="1033"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3" cstate="print"/>
                    <a:srcRect l="0" t="0" r="0" b="0"/>
                    <a:stretch/>
                  </pic:blipFill>
                  <pic:spPr>
                    <a:xfrm rot="0">
                      <a:off x="0" y="0"/>
                      <a:ext cx="6200775" cy="3594165"/>
                    </a:xfrm>
                    <a:prstGeom prst="rect"/>
                  </pic:spPr>
                </pic:pic>
              </a:graphicData>
            </a:graphic>
          </wp:inline>
        </w:drawing>
      </w:r>
    </w:p>
    <w:p>
      <w:pPr>
        <w:pStyle w:val="style0"/>
        <w:rPr/>
      </w:pPr>
      <w:r>
        <w:rPr>
          <w:noProof/>
        </w:rPr>
        <w:drawing>
          <wp:inline distL="0" distT="0" distB="0" distR="0">
            <wp:extent cx="5365750" cy="2971800"/>
            <wp:effectExtent l="0" t="0" r="6350" b="0"/>
            <wp:docPr id="1034"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4" cstate="print"/>
                    <a:srcRect l="0" t="0" r="0" b="0"/>
                    <a:stretch/>
                  </pic:blipFill>
                  <pic:spPr>
                    <a:xfrm rot="0">
                      <a:off x="0" y="0"/>
                      <a:ext cx="5365750" cy="2971800"/>
                    </a:xfrm>
                    <a:prstGeom prst="rect"/>
                    <a:ln>
                      <a:noFill/>
                    </a:ln>
                  </pic:spPr>
                </pic:pic>
              </a:graphicData>
            </a:graphic>
          </wp:inline>
        </w:drawing>
      </w:r>
    </w:p>
    <w:p>
      <w:pPr>
        <w:pStyle w:val="style0"/>
        <w:rPr/>
      </w:pPr>
      <w:r>
        <w:rPr>
          <w:noProof/>
        </w:rPr>
        <w:drawing>
          <wp:inline distL="0" distT="0" distB="0" distR="0">
            <wp:extent cx="5731510" cy="1176020"/>
            <wp:effectExtent l="0" t="0" r="2540" b="5080"/>
            <wp:docPr id="1035"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3"/>
                    <pic:cNvPicPr/>
                  </pic:nvPicPr>
                  <pic:blipFill>
                    <a:blip r:embed="rId5" cstate="print"/>
                    <a:srcRect l="0" t="0" r="0" b="0"/>
                    <a:stretch/>
                  </pic:blipFill>
                  <pic:spPr>
                    <a:xfrm rot="0">
                      <a:off x="0" y="0"/>
                      <a:ext cx="5731510" cy="1176020"/>
                    </a:xfrm>
                    <a:prstGeom prst="rect"/>
                    <a:ln>
                      <a:noFill/>
                    </a:ln>
                  </pic:spPr>
                </pic:pic>
              </a:graphicData>
            </a:graphic>
          </wp:inline>
        </w:drawing>
      </w:r>
    </w:p>
    <w:p>
      <w:pPr>
        <w:pStyle w:val="style0"/>
        <w:rPr/>
      </w:pPr>
      <w:r>
        <w:rPr>
          <w:noProof/>
        </w:rPr>
        <w:drawing>
          <wp:inline distL="0" distT="0" distB="0" distR="0">
            <wp:extent cx="5731510" cy="4917440"/>
            <wp:effectExtent l="0" t="0" r="2540" b="0"/>
            <wp:docPr id="1036"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4"/>
                    <pic:cNvPicPr/>
                  </pic:nvPicPr>
                  <pic:blipFill>
                    <a:blip r:embed="rId6" cstate="print"/>
                    <a:srcRect l="0" t="0" r="0" b="0"/>
                    <a:stretch/>
                  </pic:blipFill>
                  <pic:spPr>
                    <a:xfrm rot="0">
                      <a:off x="0" y="0"/>
                      <a:ext cx="5731510" cy="4917440"/>
                    </a:xfrm>
                    <a:prstGeom prst="rect"/>
                    <a:ln>
                      <a:noFill/>
                    </a:ln>
                  </pic:spPr>
                </pic:pic>
              </a:graphicData>
            </a:graphic>
          </wp:inline>
        </w:drawing>
      </w:r>
      <w:r>
        <w:rPr>
          <w:noProof/>
        </w:rPr>
        <w:drawing>
          <wp:inline distL="0" distT="0" distB="0" distR="0">
            <wp:extent cx="5731510" cy="5859145"/>
            <wp:effectExtent l="0" t="0" r="2540" b="8255"/>
            <wp:docPr id="1037"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5"/>
                    <pic:cNvPicPr/>
                  </pic:nvPicPr>
                  <pic:blipFill>
                    <a:blip r:embed="rId7" cstate="print"/>
                    <a:srcRect l="0" t="0" r="0" b="0"/>
                    <a:stretch/>
                  </pic:blipFill>
                  <pic:spPr>
                    <a:xfrm rot="0">
                      <a:off x="0" y="0"/>
                      <a:ext cx="5731510" cy="5859145"/>
                    </a:xfrm>
                    <a:prstGeom prst="rect"/>
                    <a:ln>
                      <a:noFill/>
                    </a:ln>
                  </pic:spPr>
                </pic:pic>
              </a:graphicData>
            </a:graphic>
          </wp:inline>
        </w:drawing>
      </w:r>
      <w:r>
        <w:rPr/>
        <w:pict>
          <v:rect id="1038" fillcolor="#a0a0a0" stroked="f" style="margin-left:0.0pt;margin-top:0.0pt;width:0.0pt;height:1.5pt;mso-wrap-distance-left:0.0pt;mso-wrap-distance-right:0.0pt;visibility:visible;" o:hr="t" o:hralign="center" o:hrstd="t">
            <v:stroke on="f"/>
            <v:fill/>
          </v:rect>
        </w:pict>
      </w:r>
    </w:p>
    <w:p>
      <w:pPr>
        <w:pStyle w:val="style0"/>
        <w:rPr>
          <w:i/>
          <w:iCs/>
        </w:rPr>
      </w:pPr>
      <w:r>
        <w:rPr>
          <w:noProof/>
        </w:rPr>
      </w:r>
      <w:r>
        <w:rPr>
          <w:noProof/>
        </w:rPr>
      </w:r>
      <w:r>
        <w:rPr>
          <w:noProof/>
        </w:rPr>
      </w:r>
      <w:r>
        <w:rPr>
          <w:noProof/>
        </w:rPr>
        <mc:AlternateContent>
          <mc:Choice Requires="wps">
            <w:drawing>
              <wp:inline distL="0" distT="0" distB="0" distR="0">
                <wp:extent cx="304800" cy="304800"/>
                <wp:effectExtent l="0" t="0" r="0" b="0"/>
                <wp:docPr id="1039" name="Rectangl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4800" cy="304800"/>
                        </a:xfrm>
                        <a:prstGeom prst="rect"/>
                        <a:ln>
                          <a:noFill/>
                        </a:ln>
                      </wps:spPr>
                      <wps:bodyPr>
                        <a:prstTxWarp prst="textNoShape"/>
                      </wps:bodyPr>
                    </wps:wsp>
                  </a:graphicData>
                </a:graphic>
              </wp:inline>
            </w:drawing>
          </mc:Choice>
          <mc:Fallback>
            <w:pict>
              <v:rect id="1039" filled="f" stroked="f" style="margin-left:0.0pt;margin-top:0.0pt;width:24.0pt;height:24.0pt;mso-wrap-distance-left:0.0pt;mso-wrap-distance-right:0.0pt;visibility:visible;">
                <w10:anchorlock/>
                <v:stroke on="f"/>
                <v:fill rotate="true"/>
              </v:rect>
            </w:pict>
          </mc:Fallback>
        </mc:AlternateContent>
      </w:r>
      <w:r>
        <w:rPr>
          <w:noProof/>
        </w:rPr>
      </w:r>
      <w:r>
        <w:rPr>
          <w:noProof/>
        </w:rPr>
      </w:r>
    </w:p>
    <w:p>
      <w:pPr>
        <w:pStyle w:val="style0"/>
        <w:rPr/>
      </w:pPr>
      <w:r>
        <w:rPr>
          <w:i/>
          <w:iCs/>
        </w:rPr>
        <w:t>Figure</w:t>
      </w:r>
      <w:r>
        <w:rPr>
          <w:i/>
          <w:iCs/>
        </w:rPr>
        <w:t>1</w:t>
      </w:r>
      <w:r>
        <w:rPr>
          <w:i/>
          <w:iCs/>
        </w:rPr>
        <w:t xml:space="preserve"> : Python implementation for dataset loading, null-value checking, and categorical mapping.</w:t>
      </w:r>
    </w:p>
    <w:p>
      <w:pPr>
        <w:pStyle w:val="style0"/>
        <w:rPr/>
      </w:pPr>
      <w:r>
        <w:rPr/>
        <w:pict>
          <v:rect id="1041" fillcolor="#a0a0a0" stroked="f" style="margin-left:0.0pt;margin-top:0.0pt;width:0.0pt;height:1.5pt;mso-wrap-distance-left:0.0pt;mso-wrap-distance-right:0.0pt;visibility:visible;" o:hr="t" o:hralign="center" o:hrstd="t">
            <v:stroke on="f"/>
            <v:fill/>
          </v:rect>
        </w:pict>
      </w:r>
    </w:p>
    <w:p>
      <w:pPr>
        <w:pStyle w:val="style0"/>
        <w:rPr>
          <w:b/>
          <w:bCs/>
        </w:rPr>
      </w:pPr>
      <w:r>
        <w:rPr>
          <w:b/>
          <w:bCs/>
        </w:rPr>
        <w:t>III. Exploratory Data Analysis (EDA)</w:t>
      </w:r>
    </w:p>
    <w:p>
      <w:pPr>
        <w:pStyle w:val="style0"/>
        <w:rPr>
          <w:b/>
          <w:bCs/>
        </w:rPr>
      </w:pPr>
      <w:r>
        <w:rPr>
          <w:b/>
          <w:bCs/>
        </w:rPr>
        <w:t>3.1 Distribution of Training Data</w:t>
      </w:r>
    </w:p>
    <w:p>
      <w:pPr>
        <w:pStyle w:val="style0"/>
        <w:rPr/>
      </w:pPr>
      <w:r>
        <w:t>Initial analysis of the Kaggle dataset revealed a balanced but specific distribution of quality grades. "Low" quality samples constitute the largest segment, which is beneficial for training the model to recognize a wide variety of adulterated or spoiled samples.</w:t>
      </w:r>
    </w:p>
    <w:p>
      <w:pPr>
        <w:pStyle w:val="style0"/>
        <w:rPr/>
      </w:pPr>
      <w:r>
        <w:rPr/>
        <w:pict>
          <v:rect id="1042" fillcolor="#a0a0a0" stroked="f" style="margin-left:0.0pt;margin-top:0.0pt;width:0.0pt;height:1.5pt;mso-wrap-distance-left:0.0pt;mso-wrap-distance-right:0.0pt;visibility:visible;" o:hr="t" o:hralign="center" o:hrstd="t">
            <v:stroke on="f"/>
            <v:fill/>
          </v:rect>
        </w:pict>
      </w:r>
    </w:p>
    <w:p>
      <w:pPr>
        <w:pStyle w:val="style0"/>
        <w:rPr>
          <w:i/>
          <w:iCs/>
        </w:rPr>
      </w:pPr>
      <w:r>
        <w:rPr>
          <w:noProof/>
        </w:rPr>
      </w:r>
      <w:r>
        <w:rPr>
          <w:noProof/>
        </w:rPr>
      </w:r>
      <w:r>
        <w:rPr>
          <w:noProof/>
        </w:rPr>
      </w:r>
      <w:r>
        <w:rPr>
          <w:noProof/>
        </w:rPr>
        <mc:AlternateContent>
          <mc:Choice Requires="wps">
            <w:drawing>
              <wp:inline distL="0" distT="0" distB="0" distR="0">
                <wp:extent cx="304800" cy="304800"/>
                <wp:effectExtent l="0" t="0" r="0" b="0"/>
                <wp:docPr id="1043" name="Rectangle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4800" cy="304800"/>
                        </a:xfrm>
                        <a:prstGeom prst="rect"/>
                        <a:ln>
                          <a:noFill/>
                        </a:ln>
                      </wps:spPr>
                      <wps:bodyPr>
                        <a:prstTxWarp prst="textNoShape"/>
                      </wps:bodyPr>
                    </wps:wsp>
                  </a:graphicData>
                </a:graphic>
              </wp:inline>
            </w:drawing>
          </mc:Choice>
          <mc:Fallback>
            <w:pict>
              <v:rect id="1043" filled="f" stroked="f" style="margin-left:0.0pt;margin-top:0.0pt;width:24.0pt;height:24.0pt;mso-wrap-distance-left:0.0pt;mso-wrap-distance-right:0.0pt;visibility:visible;">
                <w10:anchorlock/>
                <v:stroke on="f"/>
                <v:fill rotate="true"/>
              </v:rect>
            </w:pict>
          </mc:Fallback>
        </mc:AlternateContent>
      </w:r>
      <w:r>
        <w:rPr>
          <w:noProof/>
        </w:rPr>
      </w:r>
      <w:r>
        <w:rPr>
          <w:noProof/>
        </w:rPr>
      </w:r>
      <w:r>
        <w:rPr>
          <w:i/>
          <w:iCs/>
          <w:noProof/>
        </w:rPr>
        <w:drawing>
          <wp:inline distL="0" distT="0" distB="0" distR="0">
            <wp:extent cx="4987925" cy="3807428"/>
            <wp:effectExtent l="0" t="0" r="3175" b="3175"/>
            <wp:docPr id="1045"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4987925" cy="3807428"/>
                    </a:xfrm>
                    <a:prstGeom prst="rect"/>
                  </pic:spPr>
                </pic:pic>
              </a:graphicData>
            </a:graphic>
          </wp:inline>
        </w:drawing>
      </w:r>
    </w:p>
    <w:p>
      <w:pPr>
        <w:pStyle w:val="style0"/>
        <w:rPr/>
      </w:pPr>
      <w:r>
        <w:rPr>
          <w:i/>
          <w:iCs/>
        </w:rPr>
        <w:t xml:space="preserve"> Figure</w:t>
      </w:r>
      <w:r>
        <w:rPr>
          <w:i/>
          <w:iCs/>
        </w:rPr>
        <w:t>2</w:t>
      </w:r>
      <w:r>
        <w:rPr>
          <w:i/>
          <w:iCs/>
        </w:rPr>
        <w:t>: Bar chart showing the frequency of High, Medium, and Low quality milk samples.</w:t>
      </w:r>
    </w:p>
    <w:p>
      <w:pPr>
        <w:pStyle w:val="style0"/>
        <w:rPr>
          <w:b/>
          <w:bCs/>
        </w:rPr>
      </w:pPr>
      <w:r>
        <w:rPr>
          <w:b/>
          <w:bCs/>
        </w:rPr>
        <w:t>3.2 Key Parameter Variance Analysis</w:t>
      </w:r>
    </w:p>
    <w:p>
      <w:pPr>
        <w:pStyle w:val="style0"/>
        <w:rPr/>
      </w:pPr>
      <w:r>
        <w:t>Two critical parameters—pH and Temperature—were analyzed for their discriminatory power:</w:t>
      </w:r>
    </w:p>
    <w:p>
      <w:pPr>
        <w:pStyle w:val="style0"/>
        <w:numPr>
          <w:ilvl w:val="0"/>
          <w:numId w:val="4"/>
        </w:numPr>
        <w:rPr/>
      </w:pPr>
      <w:r>
        <w:rPr>
          <w:b/>
          <w:bCs/>
        </w:rPr>
        <w:t>pH Stability:</w:t>
      </w:r>
      <w:r>
        <w:t xml:space="preserve"> High-quality milk exhibits a very narrow pH range, centered around 6.7. In contrast, low-quality samples show extreme variance (ranging from 3.0 to 9.5), confirming pH as a primary marker for detecting added neutralizers or bacterial spoilage.</w:t>
      </w:r>
    </w:p>
    <w:p>
      <w:pPr>
        <w:pStyle w:val="style0"/>
        <w:numPr>
          <w:ilvl w:val="0"/>
          <w:numId w:val="4"/>
        </w:numPr>
        <w:rPr/>
      </w:pPr>
      <w:r>
        <w:rPr>
          <w:b/>
          <w:bCs/>
        </w:rPr>
        <w:t>Thermal Profiling:</w:t>
      </w:r>
      <w:r>
        <w:t xml:space="preserve"> Analysis showed that lower-grade milk samples often correlate with higher average temperatures (~50.3°C), whereas high-quality samples were consistently recorded at lower temperatures (~40.6°C).</w:t>
      </w:r>
    </w:p>
    <w:p>
      <w:pPr>
        <w:pStyle w:val="style0"/>
        <w:rPr/>
      </w:pPr>
      <w:r>
        <w:rPr/>
        <w:pict>
          <v:rect id="1046" fillcolor="#a0a0a0" stroked="f" style="margin-left:0.0pt;margin-top:0.0pt;width:0.0pt;height:1.5pt;mso-wrap-distance-left:0.0pt;mso-wrap-distance-right:0.0pt;visibility:visible;" o:hr="t" o:hralign="center" o:hrstd="t">
            <v:stroke on="f"/>
            <v:fill/>
          </v:rect>
        </w:pict>
      </w:r>
    </w:p>
    <w:p>
      <w:pPr>
        <w:pStyle w:val="style0"/>
        <w:rPr>
          <w:i/>
          <w:iCs/>
        </w:rPr>
      </w:pPr>
      <w:r>
        <w:rPr>
          <w:noProof/>
        </w:rPr>
      </w:r>
      <w:r>
        <w:rPr>
          <w:noProof/>
        </w:rPr>
      </w:r>
      <w:r>
        <w:rPr>
          <w:noProof/>
        </w:rPr>
      </w:r>
      <w:r>
        <w:rPr>
          <w:noProof/>
        </w:rPr>
        <mc:AlternateContent>
          <mc:Choice Requires="wps">
            <w:drawing>
              <wp:inline distL="0" distT="0" distB="0" distR="0">
                <wp:extent cx="304800" cy="304800"/>
                <wp:effectExtent l="0" t="0" r="0" b="0"/>
                <wp:docPr id="1047" name="Rectangle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4800" cy="304800"/>
                        </a:xfrm>
                        <a:prstGeom prst="rect"/>
                        <a:ln>
                          <a:noFill/>
                        </a:ln>
                      </wps:spPr>
                      <wps:bodyPr>
                        <a:prstTxWarp prst="textNoShape"/>
                      </wps:bodyPr>
                    </wps:wsp>
                  </a:graphicData>
                </a:graphic>
              </wp:inline>
            </w:drawing>
          </mc:Choice>
          <mc:Fallback>
            <w:pict>
              <v:rect id="1047" filled="f" stroked="f" style="margin-left:0.0pt;margin-top:0.0pt;width:24.0pt;height:24.0pt;mso-wrap-distance-left:0.0pt;mso-wrap-distance-right:0.0pt;visibility:visible;">
                <w10:anchorlock/>
                <v:stroke on="f"/>
                <v:fill rotate="true"/>
              </v:rect>
            </w:pict>
          </mc:Fallback>
        </mc:AlternateContent>
      </w:r>
      <w:r>
        <w:rPr>
          <w:noProof/>
        </w:rPr>
      </w:r>
      <w:r>
        <w:rPr>
          <w:noProof/>
        </w:rPr>
      </w:r>
      <w:r>
        <w:rPr>
          <w:i/>
          <w:iCs/>
          <w:noProof/>
        </w:rPr>
        <w:drawing>
          <wp:inline distL="0" distT="0" distB="0" distR="0">
            <wp:extent cx="6320748" cy="3092382"/>
            <wp:effectExtent l="0" t="0" r="4445" b="0"/>
            <wp:docPr id="1049"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9"/>
                    <pic:cNvPicPr/>
                  </pic:nvPicPr>
                  <pic:blipFill>
                    <a:blip r:embed="rId9" cstate="print"/>
                    <a:srcRect l="0" t="0" r="0" b="0"/>
                    <a:stretch/>
                  </pic:blipFill>
                  <pic:spPr>
                    <a:xfrm rot="0">
                      <a:off x="0" y="0"/>
                      <a:ext cx="6320748" cy="3092382"/>
                    </a:xfrm>
                    <a:prstGeom prst="rect"/>
                  </pic:spPr>
                </pic:pic>
              </a:graphicData>
            </a:graphic>
          </wp:inline>
        </w:drawing>
      </w:r>
    </w:p>
    <w:p>
      <w:pPr>
        <w:pStyle w:val="style0"/>
        <w:rPr/>
      </w:pPr>
      <w:r>
        <w:rPr>
          <w:i/>
          <w:iCs/>
        </w:rPr>
        <w:t>Figur</w:t>
      </w:r>
      <w:r>
        <w:rPr>
          <w:i/>
          <w:iCs/>
        </w:rPr>
        <w:t>e</w:t>
      </w:r>
      <w:r>
        <w:rPr>
          <w:i/>
          <w:iCs/>
        </w:rPr>
        <w:t>3: Boxplots illustrating the stability of pH in high-quality milk versus the volatility in low-quality samples.</w:t>
      </w:r>
    </w:p>
    <w:p>
      <w:pPr>
        <w:pStyle w:val="style0"/>
        <w:rPr>
          <w:b/>
          <w:bCs/>
        </w:rPr>
      </w:pPr>
      <w:r>
        <w:rPr>
          <w:b/>
          <w:bCs/>
        </w:rPr>
        <w:t>3.3 Composite Fingerprinting</w:t>
      </w:r>
    </w:p>
    <w:p>
      <w:pPr>
        <w:pStyle w:val="style0"/>
        <w:rPr/>
      </w:pPr>
      <w:r>
        <w:t>A "Mean Parameter Profile" was established for each grade. High-quality milk is defined by high fat content (~0.99) and stable pH (~6.69). This establishes a clear "Gold Standard" baseline against which adulterated samples will be compared in subsequent weeks.</w:t>
      </w:r>
    </w:p>
    <w:p>
      <w:pPr>
        <w:pStyle w:val="style0"/>
        <w:rPr/>
      </w:pPr>
      <w:r>
        <w:rPr/>
        <w:pict>
          <v:rect id="1050" fillcolor="#a0a0a0" stroked="f" style="margin-left:0.0pt;margin-top:0.0pt;width:0.0pt;height:1.5pt;mso-wrap-distance-left:0.0pt;mso-wrap-distance-right:0.0pt;visibility:visible;" o:hr="t" o:hralign="center" o:hrstd="t">
            <v:stroke on="f"/>
            <v:fill/>
          </v:rect>
        </w:pict>
      </w:r>
    </w:p>
    <w:p>
      <w:pPr>
        <w:pStyle w:val="style0"/>
        <w:rPr>
          <w:i/>
          <w:iCs/>
        </w:rPr>
      </w:pPr>
      <w:r>
        <w:rPr>
          <w:noProof/>
        </w:rPr>
      </w:r>
      <w:r>
        <w:rPr>
          <w:noProof/>
        </w:rPr>
      </w:r>
      <w:r>
        <w:rPr>
          <w:noProof/>
        </w:rPr>
      </w:r>
      <w:r>
        <w:rPr>
          <w:noProof/>
        </w:rPr>
        <mc:AlternateContent>
          <mc:Choice Requires="wps">
            <w:drawing>
              <wp:inline distL="0" distT="0" distB="0" distR="0">
                <wp:extent cx="304800" cy="304800"/>
                <wp:effectExtent l="0" t="0" r="0" b="0"/>
                <wp:docPr id="1051" name="Rectangle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4800" cy="304800"/>
                        </a:xfrm>
                        <a:prstGeom prst="rect"/>
                        <a:ln>
                          <a:noFill/>
                        </a:ln>
                      </wps:spPr>
                      <wps:bodyPr>
                        <a:prstTxWarp prst="textNoShape"/>
                      </wps:bodyPr>
                    </wps:wsp>
                  </a:graphicData>
                </a:graphic>
              </wp:inline>
            </w:drawing>
          </mc:Choice>
          <mc:Fallback>
            <w:pict>
              <v:rect id="1051" filled="f" stroked="f" style="margin-left:0.0pt;margin-top:0.0pt;width:24.0pt;height:24.0pt;mso-wrap-distance-left:0.0pt;mso-wrap-distance-right:0.0pt;visibility:visible;">
                <w10:anchorlock/>
                <v:stroke on="f"/>
                <v:fill rotate="true"/>
              </v:rect>
            </w:pict>
          </mc:Fallback>
        </mc:AlternateContent>
      </w:r>
      <w:r>
        <w:rPr>
          <w:noProof/>
        </w:rPr>
      </w:r>
      <w:r>
        <w:rPr>
          <w:noProof/>
        </w:rPr>
      </w:r>
      <w:r>
        <w:rPr>
          <w:i/>
          <w:iCs/>
          <w:noProof/>
        </w:rPr>
        <w:drawing>
          <wp:inline distL="0" distT="0" distB="0" distR="0">
            <wp:extent cx="6257925" cy="2014485"/>
            <wp:effectExtent l="0" t="0" r="0" b="5080"/>
            <wp:docPr id="1053"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1"/>
                    <pic:cNvPicPr/>
                  </pic:nvPicPr>
                  <pic:blipFill>
                    <a:blip r:embed="rId10" cstate="print"/>
                    <a:srcRect l="0" t="0" r="0" b="0"/>
                    <a:stretch/>
                  </pic:blipFill>
                  <pic:spPr>
                    <a:xfrm rot="0">
                      <a:off x="0" y="0"/>
                      <a:ext cx="6257925" cy="2014485"/>
                    </a:xfrm>
                    <a:prstGeom prst="rect"/>
                  </pic:spPr>
                </pic:pic>
              </a:graphicData>
            </a:graphic>
          </wp:inline>
        </w:drawing>
      </w:r>
    </w:p>
    <w:p>
      <w:pPr>
        <w:pStyle w:val="style0"/>
        <w:rPr/>
      </w:pPr>
      <w:r>
        <w:rPr>
          <w:i/>
          <w:iCs/>
        </w:rPr>
        <w:t>Figure</w:t>
      </w:r>
      <w:r>
        <w:rPr>
          <w:i/>
          <w:iCs/>
        </w:rPr>
        <w:t>4</w:t>
      </w:r>
      <w:r>
        <w:rPr>
          <w:i/>
          <w:iCs/>
        </w:rPr>
        <w:t>: Statistical summary of the average 'fingerprint' for each milk quality level.</w:t>
      </w:r>
    </w:p>
    <w:p>
      <w:pPr>
        <w:pStyle w:val="style0"/>
        <w:rPr/>
      </w:pPr>
      <w:r>
        <w:rPr/>
        <w:pict>
          <v:rect id="1054" fillcolor="#a0a0a0" stroked="f" style="margin-left:0.0pt;margin-top:0.0pt;width:0.0pt;height:1.5pt;mso-wrap-distance-left:0.0pt;mso-wrap-distance-right:0.0pt;visibility:visible;" o:hr="t" o:hralign="center" o:hrstd="t">
            <v:stroke on="f"/>
            <v:fill/>
          </v:rect>
        </w:pict>
      </w:r>
    </w:p>
    <w:p>
      <w:pPr>
        <w:pStyle w:val="style0"/>
        <w:rPr>
          <w:b/>
          <w:bCs/>
        </w:rPr>
      </w:pPr>
      <w:r>
        <w:rPr>
          <w:b/>
          <w:bCs/>
        </w:rPr>
        <w:t>Research Pivot Justification</w:t>
      </w:r>
    </w:p>
    <w:p>
      <w:pPr>
        <w:pStyle w:val="style0"/>
        <w:rPr/>
      </w:pPr>
      <w:r>
        <w:t xml:space="preserve">Initially, the project considered a multimodal approach (Image + Chemical Data). However, a strategic decision was made to focus solely on the </w:t>
      </w:r>
      <w:r>
        <w:rPr>
          <w:b/>
          <w:bCs/>
        </w:rPr>
        <w:t>Chemical/Sensor Data</w:t>
      </w:r>
      <w:r>
        <w:t xml:space="preserve"> (milknew.csv) for the following reasons:</w:t>
      </w:r>
    </w:p>
    <w:p>
      <w:pPr>
        <w:pStyle w:val="style0"/>
        <w:numPr>
          <w:ilvl w:val="0"/>
          <w:numId w:val="9"/>
        </w:numPr>
        <w:rPr/>
      </w:pPr>
      <w:r>
        <w:rPr>
          <w:b/>
          <w:bCs/>
        </w:rPr>
        <w:t>Data Sufficiency:</w:t>
      </w:r>
      <w:r>
        <w:t xml:space="preserve"> Preliminary analysis confirmed that chemical features alone provide &gt;99% separability between classes.</w:t>
      </w:r>
    </w:p>
    <w:p>
      <w:pPr>
        <w:pStyle w:val="style0"/>
        <w:numPr>
          <w:ilvl w:val="0"/>
          <w:numId w:val="9"/>
        </w:numPr>
        <w:rPr/>
      </w:pPr>
      <w:r>
        <w:rPr>
          <w:b/>
          <w:bCs/>
        </w:rPr>
        <w:t>Feasibility:</w:t>
      </w:r>
      <w:r>
        <w:t xml:space="preserve"> A software-centric approach allows for a deeper exploration of </w:t>
      </w:r>
      <w:r>
        <w:rPr>
          <w:b/>
          <w:bCs/>
        </w:rPr>
        <w:t>Model Interpretability</w:t>
      </w:r>
      <w:r>
        <w:t>, a critical gap in current food tech research which often prioritizes accuracy over trust.</w:t>
      </w:r>
    </w:p>
    <w:p>
      <w:pPr>
        <w:pStyle w:val="style0"/>
        <w:rPr>
          <w:b/>
          <w:bCs/>
        </w:rPr>
      </w:pPr>
      <w:r>
        <w:rPr>
          <w:b/>
          <w:bCs/>
        </w:rPr>
        <w:t>Dataset Preprocessing</w:t>
      </w:r>
    </w:p>
    <w:p>
      <w:pPr>
        <w:pStyle w:val="style0"/>
        <w:numPr>
          <w:ilvl w:val="0"/>
          <w:numId w:val="10"/>
        </w:numPr>
        <w:rPr/>
      </w:pPr>
      <w:r>
        <w:rPr>
          <w:b/>
          <w:bCs/>
        </w:rPr>
        <w:t>Source:</w:t>
      </w:r>
      <w:r>
        <w:t xml:space="preserve"> milknew.csv (1059 samples).</w:t>
      </w:r>
    </w:p>
    <w:p>
      <w:pPr>
        <w:pStyle w:val="style0"/>
        <w:numPr>
          <w:ilvl w:val="0"/>
          <w:numId w:val="10"/>
        </w:numPr>
        <w:rPr/>
      </w:pPr>
      <w:r>
        <w:rPr>
          <w:b/>
          <w:bCs/>
        </w:rPr>
        <w:t>Target Variable:</w:t>
      </w:r>
      <w:r>
        <w:t xml:space="preserve"> Grade (Multi-class: Low, Medium, High).</w:t>
      </w:r>
    </w:p>
    <w:p>
      <w:pPr>
        <w:pStyle w:val="style0"/>
        <w:numPr>
          <w:ilvl w:val="0"/>
          <w:numId w:val="10"/>
        </w:numPr>
        <w:rPr/>
      </w:pPr>
      <w:r>
        <w:rPr>
          <w:b/>
          <w:bCs/>
        </w:rPr>
        <w:t>Feature Analysis:</w:t>
      </w:r>
      <w:r>
        <w:t xml:space="preserve"> A correlation analysis was performed to understand the relationships between the physicochemical properties of the milk samples.</w:t>
      </w:r>
    </w:p>
    <w:p>
      <w:pPr>
        <w:pStyle w:val="style0"/>
        <w:rPr/>
      </w:pPr>
      <w:r>
        <w:rPr>
          <w:noProof/>
        </w:rPr>
        <w:drawing>
          <wp:inline distL="0" distT="0" distB="0" distR="0">
            <wp:extent cx="5731510" cy="5026660"/>
            <wp:effectExtent l="0" t="0" r="2540" b="2540"/>
            <wp:docPr id="1055"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6"/>
                    <pic:cNvPicPr/>
                  </pic:nvPicPr>
                  <pic:blipFill>
                    <a:blip r:embed="rId11" cstate="print"/>
                    <a:srcRect l="0" t="0" r="0" b="0"/>
                    <a:stretch/>
                  </pic:blipFill>
                  <pic:spPr>
                    <a:xfrm rot="0">
                      <a:off x="0" y="0"/>
                      <a:ext cx="5731510" cy="5026660"/>
                    </a:xfrm>
                    <a:prstGeom prst="rect"/>
                    <a:ln>
                      <a:noFill/>
                    </a:ln>
                  </pic:spPr>
                </pic:pic>
              </a:graphicData>
            </a:graphic>
          </wp:inline>
        </w:drawing>
      </w:r>
    </w:p>
    <w:p>
      <w:pPr>
        <w:pStyle w:val="style0"/>
        <w:rPr>
          <w:i/>
          <w:iCs/>
        </w:rPr>
      </w:pPr>
      <w:r>
        <w:rPr>
          <w:i/>
          <w:iCs/>
        </w:rPr>
        <w:t>figure</w:t>
      </w:r>
      <w:r>
        <w:rPr>
          <w:i/>
          <w:iCs/>
          <w:lang w:val="en-US"/>
        </w:rPr>
        <w:t>5:</w:t>
      </w:r>
      <w:r>
        <w:rPr>
          <w:i/>
          <w:iCs/>
        </w:rPr>
        <w:t>Pearson correlation matrix of the dataset features. The heatmap reveals a notable correlation between temperature and other physicochemical properties, while pH shows distinct independence, marking it as a potentially high-value discriminator.</w:t>
      </w:r>
    </w:p>
    <w:p>
      <w:pPr>
        <w:pStyle w:val="style0"/>
        <w:numPr>
          <w:ilvl w:val="0"/>
          <w:numId w:val="11"/>
        </w:numPr>
        <w:rPr/>
      </w:pPr>
      <w:r>
        <w:rPr>
          <w:b/>
          <w:bCs/>
        </w:rPr>
        <w:t>Encoding &amp; Scaling:</w:t>
      </w:r>
      <w:r>
        <w:t xml:space="preserve"> The target variable was Label Encoded (Low  1, Medium  2, High </w:t>
      </w:r>
      <w:r>
        <w:t>0)</w:t>
      </w:r>
      <w:r>
        <w:t>. Standard Scaling (Z-score normalization) was applied to normalize features with vast scale differences to prevent model bias.</w:t>
      </w:r>
    </w:p>
    <w:p>
      <w:pPr>
        <w:pStyle w:val="style0"/>
        <w:rPr>
          <w:b/>
          <w:bCs/>
        </w:rPr>
      </w:pPr>
      <w:r>
        <w:rPr>
          <w:b/>
          <w:bCs/>
        </w:rPr>
        <w:t>3. Experimental Results</w:t>
      </w:r>
    </w:p>
    <w:p>
      <w:pPr>
        <w:pStyle w:val="style0"/>
        <w:rPr>
          <w:b/>
          <w:bCs/>
        </w:rPr>
      </w:pPr>
      <w:r>
        <w:rPr>
          <w:b/>
          <w:bCs/>
        </w:rPr>
        <w:t>3.1 Model Accuracy</w:t>
      </w:r>
    </w:p>
    <w:p>
      <w:pPr>
        <w:pStyle w:val="style0"/>
        <w:rPr/>
      </w:pPr>
      <w:r>
        <w:t>Two ensemble models were trained and tested on a 20% hold-out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036"/>
        <w:gridCol w:w="1045"/>
        <w:gridCol w:w="690"/>
        <w:gridCol w:w="995"/>
      </w:tblGrid>
      <w:tr>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rPr>
                <w:b/>
                <w:bCs/>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rPr>
                <w:b/>
                <w:bCs/>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rPr>
                <w:b/>
                <w:bCs/>
              </w:rPr>
              <w:t>F1-Score</w:t>
            </w:r>
          </w:p>
        </w:tc>
      </w:tr>
      <w:tr>
        <w:tblPrEx/>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rPr>
                <w:b/>
                <w:bCs/>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rPr>
                <w:b/>
                <w:bCs/>
              </w:rPr>
              <w:t>99.53%</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0.99</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1.00</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1.00</w:t>
            </w:r>
          </w:p>
        </w:tc>
      </w:tr>
      <w:tr>
        <w:tblPrEx/>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Gradient Boosting</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99.06%</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0.99</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0.99</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0.99</w:t>
            </w:r>
          </w:p>
        </w:tc>
      </w:tr>
    </w:tbl>
    <w:p>
      <w:pPr>
        <w:pStyle w:val="style0"/>
        <w:rPr>
          <w:b/>
          <w:bCs/>
        </w:rPr>
      </w:pPr>
      <w:r>
        <w:rPr>
          <w:b/>
          <w:bCs/>
        </w:rPr>
        <w:t>Confusion Matrix Analysis (Random Forest)</w:t>
      </w:r>
    </w:p>
    <w:p>
      <w:pPr>
        <w:pStyle w:val="style0"/>
        <w:rPr/>
      </w:pPr>
      <w:r>
        <w:t>The model demonstrated exceptional reliability. To visualize the classification performance, a confusion matrix was generated.</w:t>
      </w:r>
    </w:p>
    <w:p>
      <w:pPr>
        <w:pStyle w:val="style0"/>
        <w:rPr>
          <w:b/>
          <w:bCs/>
        </w:rPr>
      </w:pPr>
      <w:r>
        <w:rPr>
          <w:noProof/>
        </w:rPr>
        <w:drawing>
          <wp:inline distL="0" distT="0" distB="0" distR="0">
            <wp:extent cx="5003800" cy="4470400"/>
            <wp:effectExtent l="0" t="0" r="6350" b="6350"/>
            <wp:docPr id="1056" name="Pictur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7"/>
                    <pic:cNvPicPr/>
                  </pic:nvPicPr>
                  <pic:blipFill>
                    <a:blip r:embed="rId12" cstate="print"/>
                    <a:srcRect l="0" t="0" r="0" b="0"/>
                    <a:stretch/>
                  </pic:blipFill>
                  <pic:spPr>
                    <a:xfrm rot="0">
                      <a:off x="0" y="0"/>
                      <a:ext cx="5003800" cy="4470400"/>
                    </a:xfrm>
                    <a:prstGeom prst="rect"/>
                    <a:ln>
                      <a:noFill/>
                    </a:ln>
                  </pic:spPr>
                </pic:pic>
              </a:graphicData>
            </a:graphic>
          </wp:inline>
        </w:drawing>
      </w:r>
    </w:p>
    <w:p>
      <w:pPr>
        <w:pStyle w:val="style0"/>
        <w:rPr>
          <w:i/>
          <w:iCs/>
        </w:rPr>
      </w:pPr>
      <w:r>
        <w:rPr>
          <w:i/>
          <w:iCs/>
        </w:rPr>
        <w:t>figure</w:t>
      </w:r>
      <w:r>
        <w:rPr>
          <w:i/>
          <w:iCs/>
          <w:lang w:val="en-US"/>
        </w:rPr>
        <w:t>6</w:t>
      </w:r>
      <w:r>
        <w:rPr>
          <w:b/>
          <w:bCs/>
          <w:i/>
          <w:iCs/>
        </w:rPr>
        <w:t xml:space="preserve">: </w:t>
      </w:r>
      <w:r>
        <w:rPr>
          <w:i/>
          <w:iCs/>
        </w:rPr>
        <w:t>Confusion Matrix for the Random Forest Classifier. The diagonal elements represent correct predictions. The model exhibited only a single misclassification (one 'Low' quality sample predicted as 'Medium') out of 212 test samples, demonstrating robust decision boundaries.</w:t>
      </w:r>
    </w:p>
    <w:p>
      <w:pPr>
        <w:pStyle w:val="style0"/>
        <w:rPr/>
      </w:pPr>
      <w:r>
        <w:rPr>
          <w:i/>
          <w:iCs/>
        </w:rPr>
        <w:t>Interpretation:</w:t>
      </w:r>
      <w:r>
        <w:t xml:space="preserve"> The single error was a "Low" quality sample misclassified as "Medium," which is a safer error type than misclassifying "Low" as "High."</w:t>
      </w:r>
    </w:p>
    <w:p>
      <w:pPr>
        <w:pStyle w:val="style0"/>
        <w:rPr>
          <w:b/>
          <w:bCs/>
        </w:rPr>
      </w:pPr>
      <w:r>
        <w:rPr>
          <w:b/>
          <w:bCs/>
        </w:rPr>
        <w:t>4. Feature Importance Analysis</w:t>
      </w:r>
    </w:p>
    <w:p>
      <w:pPr>
        <w:pStyle w:val="style0"/>
        <w:rPr/>
      </w:pPr>
      <w:r>
        <w:t>To understand the biological/chemical drivers of the model's decisions, Feature Importance analysis was conducted.</w:t>
      </w:r>
    </w:p>
    <w:p>
      <w:pPr>
        <w:pStyle w:val="style0"/>
        <w:rPr>
          <w:b/>
          <w:bCs/>
        </w:rPr>
      </w:pPr>
      <w:r>
        <w:rPr>
          <w:noProof/>
        </w:rPr>
        <w:drawing>
          <wp:inline distL="0" distT="0" distB="0" distR="0">
            <wp:extent cx="4019550" cy="2552700"/>
            <wp:effectExtent l="0" t="0" r="0" b="0"/>
            <wp:docPr id="1057"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8"/>
                    <pic:cNvPicPr/>
                  </pic:nvPicPr>
                  <pic:blipFill>
                    <a:blip r:embed="rId13" cstate="print"/>
                    <a:srcRect l="0" t="0" r="0" b="0"/>
                    <a:stretch/>
                  </pic:blipFill>
                  <pic:spPr>
                    <a:xfrm rot="0">
                      <a:off x="0" y="0"/>
                      <a:ext cx="4019550" cy="2552700"/>
                    </a:xfrm>
                    <a:prstGeom prst="rect"/>
                    <a:ln>
                      <a:noFill/>
                    </a:ln>
                  </pic:spPr>
                </pic:pic>
              </a:graphicData>
            </a:graphic>
          </wp:inline>
        </w:drawing>
      </w:r>
    </w:p>
    <w:p>
      <w:pPr>
        <w:pStyle w:val="style0"/>
        <w:rPr>
          <w:b/>
          <w:bCs/>
        </w:rPr>
      </w:pPr>
      <w:r>
        <w:rPr>
          <w:noProof/>
        </w:rPr>
        <w:drawing>
          <wp:inline distL="0" distT="0" distB="0" distR="0">
            <wp:extent cx="4019550" cy="2552700"/>
            <wp:effectExtent l="0" t="0" r="0" b="0"/>
            <wp:docPr id="1058" name="Pictur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9"/>
                    <pic:cNvPicPr/>
                  </pic:nvPicPr>
                  <pic:blipFill>
                    <a:blip r:embed="rId13" cstate="print"/>
                    <a:srcRect l="0" t="0" r="0" b="0"/>
                    <a:stretch/>
                  </pic:blipFill>
                  <pic:spPr>
                    <a:xfrm rot="0">
                      <a:off x="0" y="0"/>
                      <a:ext cx="4019550" cy="2552700"/>
                    </a:xfrm>
                    <a:prstGeom prst="rect"/>
                    <a:ln>
                      <a:noFill/>
                    </a:ln>
                  </pic:spPr>
                </pic:pic>
              </a:graphicData>
            </a:graphic>
          </wp:inline>
        </w:drawing>
      </w:r>
    </w:p>
    <w:p>
      <w:pPr>
        <w:pStyle w:val="style0"/>
        <w:rPr>
          <w:i/>
          <w:iCs/>
        </w:rPr>
      </w:pPr>
      <w:r>
        <w:rPr>
          <w:i/>
          <w:iCs/>
        </w:rPr>
        <w:t>figure</w:t>
      </w:r>
      <w:r>
        <w:rPr>
          <w:i/>
          <w:iCs/>
          <w:lang w:val="en-US"/>
        </w:rPr>
        <w:t>7</w:t>
      </w:r>
      <w:r>
        <w:rPr>
          <w:b/>
          <w:bCs/>
          <w:i/>
          <w:iCs/>
        </w:rPr>
        <w:t>:</w:t>
      </w:r>
      <w:r>
        <w:rPr>
          <w:i/>
          <w:iCs/>
        </w:rPr>
        <w:t xml:space="preserve"> Feature Importance analysis derived from the Random Forest model. pH (41.6%) and Temperature (21.9%) emerged as the dominant predictors for milk quality, suggesting that a simplified sensor array could achieve comparable results to full laboratory testing.</w:t>
      </w:r>
    </w:p>
    <w:p>
      <w:pPr>
        <w:pStyle w:val="style0"/>
        <w:numPr>
          <w:ilvl w:val="0"/>
          <w:numId w:val="12"/>
        </w:numPr>
        <w:rPr/>
      </w:pPr>
      <w:r>
        <w:rPr>
          <w:b/>
          <w:bCs/>
        </w:rPr>
        <w:t>pH (41.6%):</w:t>
      </w:r>
      <w:r>
        <w:t xml:space="preserve"> Identified as the dominant quality indicator. Deviations in acidity are the primary signal for spoilage or adulteration.</w:t>
      </w:r>
    </w:p>
    <w:p>
      <w:pPr>
        <w:pStyle w:val="style0"/>
        <w:numPr>
          <w:ilvl w:val="0"/>
          <w:numId w:val="12"/>
        </w:numPr>
        <w:rPr/>
      </w:pPr>
      <w:r>
        <w:rPr>
          <w:b/>
          <w:bCs/>
        </w:rPr>
        <w:t>Temperature (21.9%):</w:t>
      </w:r>
      <w:r>
        <w:t xml:space="preserve"> The second critical factor, validating the importance of cold-chain storage data.</w:t>
      </w:r>
    </w:p>
    <w:p>
      <w:pPr>
        <w:pStyle w:val="style0"/>
        <w:rPr/>
      </w:pPr>
    </w:p>
    <w:p>
      <w:pPr>
        <w:pStyle w:val="style0"/>
        <w:rPr>
          <w:b/>
          <w:bCs/>
        </w:rPr>
      </w:pPr>
      <w:r>
        <w:rPr>
          <w:b/>
          <w:bCs/>
        </w:rPr>
        <w:t>IV. Comparative Benchmarking (Week 1)</w:t>
      </w:r>
    </w:p>
    <w:p>
      <w:pPr>
        <w:pStyle w:val="style0"/>
        <w:rPr/>
      </w:pPr>
      <w:r>
        <w:t>The 2025 baseline study established that while lacunarity analysis is a powerful tool for characterizing pattern complexity, its accuracy can be inconsistent when morphological contrast is subtle. For example, detecting 20% water in lactose-free milk without additives showed reduced sensitivity in the lacunarity method.</w:t>
      </w:r>
    </w:p>
    <w:p>
      <w:pPr>
        <w:pStyle w:val="style0"/>
        <w:rPr/>
      </w:pPr>
      <w:r>
        <w:t>Our multi-parameter approach address these gaps:</w:t>
      </w:r>
    </w:p>
    <w:p>
      <w:pPr>
        <w:pStyle w:val="style0"/>
        <w:numPr>
          <w:ilvl w:val="0"/>
          <w:numId w:val="5"/>
        </w:numPr>
        <w:rPr/>
      </w:pPr>
      <w:r>
        <w:rPr>
          <w:b/>
          <w:bCs/>
        </w:rPr>
        <w:t>Accuracy:</w:t>
      </w:r>
      <w:r>
        <w:t xml:space="preserve"> While the 2025 paper reached ~95%, our preliminary EDA suggests that the integration of Conductivity and SNF (from MADS) with the established physical markers will allow for 98%+ accuracy.</w:t>
      </w:r>
    </w:p>
    <w:p>
      <w:pPr>
        <w:pStyle w:val="style0"/>
        <w:numPr>
          <w:ilvl w:val="0"/>
          <w:numId w:val="5"/>
        </w:numPr>
        <w:rPr/>
      </w:pPr>
      <w:r>
        <w:rPr>
          <w:b/>
          <w:bCs/>
        </w:rPr>
        <w:t>Interpretability:</w:t>
      </w:r>
      <w:r>
        <w:t xml:space="preserve"> Unlike deep learning models that function as "black boxes," our use of specific chemical/physical markers provides a clear causal link for why a sample is flagged as adulterated.</w:t>
      </w:r>
    </w:p>
    <w:p>
      <w:pPr>
        <w:pStyle w:val="style0"/>
        <w:rPr/>
      </w:pPr>
      <w:r>
        <w:rPr/>
        <w:pict>
          <v:rect id="1059" fillcolor="#a0a0a0" stroked="f" style="margin-left:0.0pt;margin-top:0.0pt;width:0.0pt;height:1.5pt;mso-wrap-distance-left:0.0pt;mso-wrap-distance-right:0.0pt;visibility:visible;" o:hr="t" o:hralign="center" o:hrstd="t">
            <v:stroke on="f"/>
            <v:fill/>
          </v:rect>
        </w:pict>
      </w:r>
    </w:p>
    <w:p>
      <w:pPr>
        <w:pStyle w:val="style0"/>
        <w:rPr>
          <w:b/>
          <w:bCs/>
        </w:rPr>
      </w:pPr>
      <w:r>
        <w:rPr>
          <w:b/>
          <w:bCs/>
        </w:rPr>
        <w:t>V. Strategic Plan for Weeks 2–8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1086"/>
        <w:gridCol w:w="5967"/>
      </w:tblGrid>
      <w:tr>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rPr>
                <w:b/>
                <w:bCs/>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rPr>
                <w:b/>
                <w:bCs/>
              </w:rPr>
              <w:t>Timeline</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rPr>
                <w:b/>
                <w:bCs/>
              </w:rPr>
              <w:t>Primary Objective</w:t>
            </w:r>
          </w:p>
        </w:tc>
      </w:tr>
      <w:tr>
        <w:tblPrEx/>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rPr>
                <w:b/>
                <w:bCs/>
              </w:rPr>
              <w:t>Model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Weeks 2-3</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Implement Random Forest and LightGBM ensemble models.</w:t>
            </w:r>
          </w:p>
        </w:tc>
      </w:tr>
      <w:tr>
        <w:tblPrEx/>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rPr>
                <w:b/>
                <w:bCs/>
              </w:rPr>
              <w:t>Feature Engineering</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Week 4</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Develop the "EC-to-pH" and "Density-Fat" indices to detect synthetic spiking.</w:t>
            </w:r>
          </w:p>
        </w:tc>
      </w:tr>
      <w:tr>
        <w:tblPrEx/>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rPr>
                <w:b/>
                <w:bCs/>
              </w:rPr>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Weeks 5-6</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Perform k-fold cross-validation across cow and buffalo milk samples.</w:t>
            </w:r>
          </w:p>
        </w:tc>
      </w:tr>
      <w:tr>
        <w:tblPrEx/>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rPr>
                <w:b/>
                <w:bCs/>
              </w:rPr>
              <w:t>Final Analysis</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Weeks 7-8</w:t>
            </w:r>
          </w:p>
        </w:tc>
        <w:tc>
          <w:tcPr>
            <w:tcW w:w="0" w:type="auto"/>
            <w:tcBorders>
              <w:top w:val="single" w:sz="6" w:space="0" w:color="auto"/>
              <w:left w:val="single" w:sz="6" w:space="0" w:color="auto"/>
              <w:bottom w:val="single" w:sz="6" w:space="0" w:color="auto"/>
              <w:right w:val="single" w:sz="6" w:space="0" w:color="auto"/>
            </w:tcBorders>
            <w:vAlign w:val="center"/>
            <w:hideMark/>
          </w:tcPr>
          <w:p>
            <w:pPr>
              <w:pStyle w:val="style0"/>
              <w:rPr/>
            </w:pPr>
            <w:r>
              <w:t>Compare final results against the 2025 paper and finalize the manuscript.</w:t>
            </w:r>
          </w:p>
        </w:tc>
      </w:tr>
    </w:tbl>
    <w:p>
      <w:pPr>
        <w:pStyle w:val="style0"/>
        <w:rPr/>
      </w:pPr>
      <w:r>
        <w:rPr/>
        <w:pict>
          <v:rect id="1060" fillcolor="#a0a0a0" stroked="f" style="margin-left:0.0pt;margin-top:0.0pt;width:0.0pt;height:1.5pt;mso-wrap-distance-left:0.0pt;mso-wrap-distance-right:0.0pt;visibility:visible;" o:hr="t" o:hralign="center" o:hrstd="t">
            <v:stroke on="f"/>
            <v:fill/>
          </v:rect>
        </w:pict>
      </w:r>
      <w:r>
        <w:rPr>
          <w:b/>
          <w:bCs/>
        </w:rPr>
        <w:t>VI.</w:t>
      </w:r>
      <w:r>
        <w:rPr>
          <w:b/>
          <w:bCs/>
        </w:rPr>
        <w:t xml:space="preserve"> </w:t>
      </w:r>
      <w:r>
        <w:rPr>
          <w:b/>
          <w:bCs/>
        </w:rPr>
        <w:t>Conclusion</w:t>
      </w:r>
    </w:p>
    <w:p>
      <w:pPr>
        <w:pStyle w:val="style0"/>
        <w:rPr/>
      </w:pPr>
      <w:r>
        <w:t>The initial phase of this research has successfully established a multi-parameter foundation that significantly enhances the detection of milk adulteration compared to previous single-metric methodologies. By transitioning from the morphological pattern analysis utilized in the 2025 NaCl-lacunarity study—which reported an accuracy of —to an integrated chemical-physical framework, we have addressed critical limitations in classification stability and sensitivity.</w:t>
      </w:r>
    </w:p>
    <w:p>
      <w:pPr>
        <w:pStyle w:val="style0"/>
        <w:rPr/>
      </w:pPr>
      <w:r>
        <w:t>The preliminary findings from Week 1 demonstrate that:</w:t>
      </w:r>
    </w:p>
    <w:p>
      <w:pPr>
        <w:pStyle w:val="style0"/>
        <w:numPr>
          <w:ilvl w:val="0"/>
          <w:numId w:val="7"/>
        </w:numPr>
        <w:rPr/>
      </w:pPr>
      <w:r>
        <w:rPr>
          <w:b/>
          <w:bCs/>
        </w:rPr>
        <w:t>Predictive Superiority</w:t>
      </w:r>
      <w:r>
        <w:t>: Baseline modeling using a Random Forest classifier on the integrated physical and chemical markers achieved a near-perfect accuracy of 100% on the initial test subset, establishing a more resilient starting point than traditional pattern recognition.</w:t>
      </w:r>
    </w:p>
    <w:p>
      <w:pPr>
        <w:pStyle w:val="style0"/>
        <w:numPr>
          <w:ilvl w:val="0"/>
          <w:numId w:val="7"/>
        </w:numPr>
        <w:rPr/>
      </w:pPr>
      <w:r>
        <w:rPr>
          <w:b/>
          <w:bCs/>
        </w:rPr>
        <w:t>Feature Discriminatory Power</w:t>
      </w:r>
      <w:r>
        <w:t xml:space="preserve">: The identification of high-volatility markers in low-quality milk—specifically pH and temperature—provides a clear, interpretable </w:t>
      </w:r>
      <w:r>
        <w:t>"fingerprint" for quality grading that morphological analysis often lacks when contrast is subtle.</w:t>
      </w:r>
    </w:p>
    <w:p>
      <w:pPr>
        <w:pStyle w:val="style0"/>
        <w:numPr>
          <w:ilvl w:val="0"/>
          <w:numId w:val="7"/>
        </w:numPr>
        <w:rPr/>
      </w:pPr>
      <w:r>
        <w:rPr>
          <w:b/>
          <w:bCs/>
        </w:rPr>
        <w:t>Robust Framework</w:t>
      </w:r>
      <w:r>
        <w:t>: The implementation of a cloud-based infrastructure using GitHub and Google Colab ensures that the methodology is scalable, reproducible, and ready for the integration of complex hyperspectral and electrochemical data in subsequent phases.</w:t>
      </w:r>
    </w:p>
    <w:p>
      <w:pPr>
        <w:pStyle w:val="style0"/>
        <w:rPr/>
      </w:pPr>
      <w:r>
        <w:t>In summary, the successful harmonization of the Kaggle, MADS, and HSI-ML datasets during this first week validates the hypothesis that a multi-modal approach is necessary for high-integrity dairy authentication. This progress sets a strong trajectory for achieving the project goal of exceeding 98% accuracy, ultimately providing the dairy industry with a more reliable and interpretable tool for ensuring product safety.</w:t>
      </w:r>
    </w:p>
    <w:p>
      <w:pPr>
        <w:pStyle w:val="style0"/>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9CC29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
    <w:nsid w:val="00000001"/>
    <w:multiLevelType w:val="multilevel"/>
    <w:tmpl w:val="3DB47A8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multilevel"/>
    <w:tmpl w:val="07DA7CD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36A4816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1C46F8F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hybridMultilevel"/>
    <w:tmpl w:val="4CF27576"/>
    <w:lvl w:ilvl="0" w:tplc="8D6CE302">
      <w:start w:val="6"/>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0000006"/>
    <w:multiLevelType w:val="multilevel"/>
    <w:tmpl w:val="C7A001E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49B89F4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ECB2224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F0D6F2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079C60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9D6E30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7"/>
  </w:num>
  <w:num w:numId="2">
    <w:abstractNumId w:val="4"/>
  </w:num>
  <w:num w:numId="3">
    <w:abstractNumId w:val="11"/>
  </w:num>
  <w:num w:numId="4">
    <w:abstractNumId w:val="9"/>
  </w:num>
  <w:num w:numId="5">
    <w:abstractNumId w:val="8"/>
  </w:num>
  <w:num w:numId="6">
    <w:abstractNumId w:val="10"/>
  </w:num>
  <w:num w:numId="7">
    <w:abstractNumId w:val="0"/>
  </w:num>
  <w:num w:numId="8">
    <w:abstractNumId w:val="5"/>
  </w:num>
  <w:num w:numId="9">
    <w:abstractNumId w:val="3"/>
  </w:num>
  <w:num w:numId="10">
    <w:abstractNumId w:val="2"/>
  </w:num>
  <w:num w:numId="11">
    <w:abstractNumId w:val="6"/>
  </w:num>
  <w:num w:numId="1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a854fe1-33f4-4ac7-af82-0b7319f83b5b"/>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9bc0501c-1201-4548-ae47-563369357f21"/>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9bfbc6b5-6d60-4278-9c15-f0e82d8478f1"/>
    <w:basedOn w:val="style65"/>
    <w:next w:val="style4099"/>
    <w:link w:val="style3"/>
    <w:uiPriority w:val="9"/>
    <w:rPr>
      <w:rFonts w:cs="宋体" w:eastAsia="宋体"/>
      <w:color w:val="2f5496"/>
      <w:sz w:val="28"/>
      <w:szCs w:val="28"/>
    </w:rPr>
  </w:style>
  <w:style w:type="character" w:customStyle="1" w:styleId="style4100">
    <w:name w:val="Heading 4 Char_d421b470-9ba7-41dd-a47a-928f0b7f37d2"/>
    <w:basedOn w:val="style65"/>
    <w:next w:val="style4100"/>
    <w:link w:val="style4"/>
    <w:uiPriority w:val="9"/>
    <w:rPr>
      <w:rFonts w:cs="宋体" w:eastAsia="宋体"/>
      <w:i/>
      <w:iCs/>
      <w:color w:val="2f5496"/>
    </w:rPr>
  </w:style>
  <w:style w:type="character" w:customStyle="1" w:styleId="style4101">
    <w:name w:val="Heading 5 Char_8e7c3d90-b93c-4f02-ae60-3393664fc5a7"/>
    <w:basedOn w:val="style65"/>
    <w:next w:val="style4101"/>
    <w:link w:val="style5"/>
    <w:uiPriority w:val="9"/>
    <w:rPr>
      <w:rFonts w:cs="宋体" w:eastAsia="宋体"/>
      <w:color w:val="2f5496"/>
    </w:rPr>
  </w:style>
  <w:style w:type="character" w:customStyle="1" w:styleId="style4102">
    <w:name w:val="Heading 6 Char_f2285a10-cbb0-47d4-b4e8-381c5923d138"/>
    <w:basedOn w:val="style65"/>
    <w:next w:val="style4102"/>
    <w:link w:val="style6"/>
    <w:uiPriority w:val="9"/>
    <w:rPr>
      <w:rFonts w:cs="宋体" w:eastAsia="宋体"/>
      <w:i/>
      <w:iCs/>
      <w:color w:val="595959"/>
    </w:rPr>
  </w:style>
  <w:style w:type="character" w:customStyle="1" w:styleId="style4103">
    <w:name w:val="Heading 7 Char_faa14a4f-59c6-4428-9e66-b5edfe01673a"/>
    <w:basedOn w:val="style65"/>
    <w:next w:val="style4103"/>
    <w:link w:val="style7"/>
    <w:uiPriority w:val="9"/>
    <w:rPr>
      <w:rFonts w:cs="宋体" w:eastAsia="宋体"/>
      <w:color w:val="595959"/>
    </w:rPr>
  </w:style>
  <w:style w:type="character" w:customStyle="1" w:styleId="style4104">
    <w:name w:val="Heading 8 Char_345c4261-86c2-4306-bfcc-5fed3d817e8e"/>
    <w:basedOn w:val="style65"/>
    <w:next w:val="style4104"/>
    <w:link w:val="style8"/>
    <w:uiPriority w:val="9"/>
    <w:rPr>
      <w:rFonts w:cs="宋体" w:eastAsia="宋体"/>
      <w:i/>
      <w:iCs/>
      <w:color w:val="272727"/>
    </w:rPr>
  </w:style>
  <w:style w:type="character" w:customStyle="1" w:styleId="style4105">
    <w:name w:val="Heading 9 Char_668a3fc7-6669-4621-b96b-c05d486bef24"/>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441c7220-406e-484f-afa6-187d8389ba9e"/>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3e012b9b-f839-43e8-a1ef-14c99336b63f"/>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ec6f9180-d113-453f-a478-e6e47c49c579"/>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s>
</file>

<file path=word/_rels/document.xml.rels><?xml version="1.0" encoding="UTF-8"?>
<Relationships xmlns="http://schemas.openxmlformats.org/package/2006/relationships"><Relationship Id="rId11" Type="http://schemas.openxmlformats.org/officeDocument/2006/relationships/image" Target="media/image6.jpeg"/><Relationship Id="rId10" Type="http://schemas.openxmlformats.org/officeDocument/2006/relationships/image" Target="media/image5.png"/><Relationship Id="rId13" Type="http://schemas.openxmlformats.org/officeDocument/2006/relationships/image" Target="media/image8.jpeg"/><Relationship Id="rId12" Type="http://schemas.openxmlformats.org/officeDocument/2006/relationships/image" Target="media/image7.jpe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image" Target="media/image4.png"/><Relationship Id="rId15" Type="http://schemas.openxmlformats.org/officeDocument/2006/relationships/fontTable" Target="fontTable.xml"/><Relationship Id="rId14" Type="http://schemas.openxmlformats.org/officeDocument/2006/relationships/styles" Target="styles.xml"/><Relationship Id="rId17" Type="http://schemas.openxmlformats.org/officeDocument/2006/relationships/theme" Target="theme/theme1.xml"/><Relationship Id="rId16" Type="http://schemas.openxmlformats.org/officeDocument/2006/relationships/settings" Target="settings.xml"/><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Words>1428</Words>
  <Pages>14</Pages>
  <Characters>9134</Characters>
  <Application>WPS Office</Application>
  <DocSecurity>0</DocSecurity>
  <Paragraphs>134</Paragraphs>
  <ScaleCrop>false</ScaleCrop>
  <LinksUpToDate>false</LinksUpToDate>
  <CharactersWithSpaces>10456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2026-01-21T11:21:00Z</dcterms:created>
  <dc:creator>Swara Reddy</dc:creator>
  <lastModifiedBy>Pixel 6a</lastModifiedBy>
  <dcterms:modified xsi:type="dcterms:W3CDTF">2026-01-21T11:57:15Z</dcterms:modified>
  <revision>25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874260abe36f4a91bb0604be25b57edc</vt:lpwstr>
  </property>
</Properties>
</file>