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B3D91"/>
          <w:sz w:val="40"/>
        </w:rPr>
        <w:t>RationSeva – Online Ration Card Services Portal</w:t>
      </w:r>
    </w:p>
    <w:p>
      <w:pPr>
        <w:jc w:val="center"/>
      </w:pPr>
      <w:r>
        <w:rPr>
          <w:b/>
          <w:sz w:val="32"/>
        </w:rPr>
        <w:t>Business Requirements Document (BRD)</w:t>
      </w:r>
    </w:p>
    <w:p>
      <w:pPr>
        <w:jc w:val="center"/>
      </w:pPr>
      <w:r>
        <w:rPr>
          <w:i/>
        </w:rPr>
        <w:t>Comprehensive Business Problem, Objectives, KPIs, Scope &amp; Operational Strategy</w:t>
        <w:br/>
        <w:t>Case Study No. 142 | District Supply Office | Version 1.0 | Oct 2026</w:t>
      </w:r>
    </w:p>
    <w:p>
      <w:pPr>
        <w:pStyle w:val="Heading1"/>
      </w:pPr>
      <w:r>
        <w:rPr>
          <w:color w:val="0B3D91"/>
        </w:rPr>
        <w:t>1. Executive Summary &amp; Business Context</w:t>
      </w:r>
    </w:p>
    <w:p>
      <w:pPr>
        <w:spacing w:after="80"/>
      </w:pPr>
      <w:r>
        <w:rPr>
          <w:b/>
        </w:rPr>
        <w:t xml:space="preserve">Institutional Context: </w:t>
      </w:r>
      <w:r>
        <w:t>The District Supply Office (DSO) operates under the Department of Food, Civil Supplies and Consumer Protection. It is the nodal administrative agency responsible for issuing, maintaining, and updating ration cards under the National Food Security Act (NFSA) and state public distribution mandates. Ration cards serve as both a statutory identity/residence credential and the primary instrument enabling subsidized essential foodgrains for priority and general households.</w:t>
      </w:r>
    </w:p>
    <w:p>
      <w:pPr>
        <w:spacing w:after="80"/>
      </w:pPr>
      <w:r>
        <w:rPr>
          <w:b/>
        </w:rPr>
        <w:t xml:space="preserve">Problem Context: </w:t>
      </w:r>
      <w:r>
        <w:t>Currently, all citizen service interactions, document verification, quota evaluations, and approval workflows are performed using manual physical paper dossiers and legacy, unlinked spreadsheets. This manual paradigm creates severe administrative friction, unacceptable processing delays, file loss, and citizen distress.</w:t>
      </w:r>
    </w:p>
    <w:p>
      <w:pPr>
        <w:pStyle w:val="Heading1"/>
      </w:pPr>
      <w:r>
        <w:rPr>
          <w:color w:val="0B3D91"/>
        </w:rPr>
        <w:t>2. Problem Statement &amp; Baseline Operational Metrics</w:t>
      </w:r>
    </w:p>
    <w:p>
      <w:pPr>
        <w:spacing w:after="80"/>
      </w:pPr>
      <w:r>
        <w:rPr>
          <w:b/>
        </w:rPr>
        <w:t xml:space="preserve">Volume Breakdown: </w:t>
      </w:r>
      <w:r>
        <w:t>The district handles approximately 4,000 ration card service requests every month across five distinct service streams. The operational realities of this manual volume are characterized by four acute systemic failure points:</w:t>
      </w:r>
    </w:p>
    <w:tbl>
      <w:tblPr>
        <w:tblStyle w:val="TableGrid"/>
        <w:tblW w:type="auto" w:w="0"/>
        <w:jc w:val="center"/>
        <w:tblLook w:firstColumn="1" w:firstRow="1" w:lastColumn="0" w:lastRow="0" w:noHBand="0" w:noVBand="1" w:val="04A0"/>
      </w:tblPr>
      <w:tblGrid>
        <w:gridCol w:w="1930"/>
        <w:gridCol w:w="1930"/>
        <w:gridCol w:w="1930"/>
        <w:gridCol w:w="1930"/>
        <w:gridCol w:w="1930"/>
      </w:tblGrid>
      <w:tr>
        <w:tc>
          <w:tcPr>
            <w:tcW w:type="dxa" w:w="2160"/>
            <w:shd w:val="clear" w:color="auto" w:fill="0B3D91"/>
          </w:tcPr>
          <w:p>
            <w:r/>
            <w:r>
              <w:rPr>
                <w:b/>
                <w:color w:val="FFFFFF"/>
                <w:sz w:val="17"/>
              </w:rPr>
              <w:t>Service Stream</w:t>
            </w:r>
          </w:p>
        </w:tc>
        <w:tc>
          <w:tcPr>
            <w:tcW w:type="dxa" w:w="1008"/>
            <w:shd w:val="clear" w:color="auto" w:fill="0B3D91"/>
          </w:tcPr>
          <w:p>
            <w:r/>
            <w:r>
              <w:rPr>
                <w:b/>
                <w:color w:val="FFFFFF"/>
                <w:sz w:val="17"/>
              </w:rPr>
              <w:t>Monthly Volume</w:t>
            </w:r>
          </w:p>
        </w:tc>
        <w:tc>
          <w:tcPr>
            <w:tcW w:type="dxa" w:w="864"/>
            <w:shd w:val="clear" w:color="auto" w:fill="0B3D91"/>
          </w:tcPr>
          <w:p>
            <w:r/>
            <w:r>
              <w:rPr>
                <w:b/>
                <w:color w:val="FFFFFF"/>
                <w:sz w:val="17"/>
              </w:rPr>
              <w:t>% Total</w:t>
            </w:r>
          </w:p>
        </w:tc>
        <w:tc>
          <w:tcPr>
            <w:tcW w:type="dxa" w:w="2592"/>
            <w:shd w:val="clear" w:color="auto" w:fill="0B3D91"/>
          </w:tcPr>
          <w:p>
            <w:r/>
            <w:r>
              <w:rPr>
                <w:b/>
                <w:color w:val="FFFFFF"/>
                <w:sz w:val="17"/>
              </w:rPr>
              <w:t>Current Handling Mechanism</w:t>
            </w:r>
          </w:p>
        </w:tc>
        <w:tc>
          <w:tcPr>
            <w:tcW w:type="dxa" w:w="2592"/>
            <w:shd w:val="clear" w:color="auto" w:fill="0B3D91"/>
          </w:tcPr>
          <w:p>
            <w:r/>
            <w:r>
              <w:rPr>
                <w:b/>
                <w:color w:val="FFFFFF"/>
                <w:sz w:val="17"/>
              </w:rPr>
              <w:t>Key Bottleneck</w:t>
            </w:r>
          </w:p>
        </w:tc>
      </w:tr>
      <w:tr>
        <w:tc>
          <w:tcPr>
            <w:tcW w:type="dxa" w:w="2160"/>
          </w:tcPr>
          <w:p>
            <w:r/>
            <w:r>
              <w:rPr>
                <w:sz w:val="17"/>
              </w:rPr>
              <w:t>New Ration Card Issuance</w:t>
            </w:r>
          </w:p>
        </w:tc>
        <w:tc>
          <w:tcPr>
            <w:tcW w:type="dxa" w:w="1008"/>
          </w:tcPr>
          <w:p>
            <w:r/>
            <w:r>
              <w:rPr>
                <w:sz w:val="17"/>
              </w:rPr>
              <w:t>1,200</w:t>
            </w:r>
          </w:p>
        </w:tc>
        <w:tc>
          <w:tcPr>
            <w:tcW w:type="dxa" w:w="864"/>
          </w:tcPr>
          <w:p>
            <w:r/>
            <w:r>
              <w:rPr>
                <w:sz w:val="17"/>
              </w:rPr>
              <w:t>30%</w:t>
            </w:r>
          </w:p>
        </w:tc>
        <w:tc>
          <w:tcPr>
            <w:tcW w:type="dxa" w:w="2592"/>
          </w:tcPr>
          <w:p>
            <w:r/>
            <w:r>
              <w:rPr>
                <w:sz w:val="17"/>
              </w:rPr>
              <w:t>Physical multi-page form + physical attachments</w:t>
            </w:r>
          </w:p>
        </w:tc>
        <w:tc>
          <w:tcPr>
            <w:tcW w:type="dxa" w:w="2592"/>
          </w:tcPr>
          <w:p>
            <w:r/>
            <w:r>
              <w:rPr>
                <w:sz w:val="17"/>
              </w:rPr>
              <w:t>Manual residence enquiry &amp; eligibility check</w:t>
            </w:r>
          </w:p>
        </w:tc>
      </w:tr>
      <w:tr>
        <w:tc>
          <w:tcPr>
            <w:tcW w:type="dxa" w:w="2160"/>
          </w:tcPr>
          <w:p>
            <w:r/>
            <w:r>
              <w:rPr>
                <w:sz w:val="17"/>
              </w:rPr>
              <w:t>Adding Family Member</w:t>
            </w:r>
          </w:p>
        </w:tc>
        <w:tc>
          <w:tcPr>
            <w:tcW w:type="dxa" w:w="1008"/>
          </w:tcPr>
          <w:p>
            <w:r/>
            <w:r>
              <w:rPr>
                <w:sz w:val="17"/>
              </w:rPr>
              <w:t>1,000</w:t>
            </w:r>
          </w:p>
        </w:tc>
        <w:tc>
          <w:tcPr>
            <w:tcW w:type="dxa" w:w="864"/>
          </w:tcPr>
          <w:p>
            <w:r/>
            <w:r>
              <w:rPr>
                <w:sz w:val="17"/>
              </w:rPr>
              <w:t>25%</w:t>
            </w:r>
          </w:p>
        </w:tc>
        <w:tc>
          <w:tcPr>
            <w:tcW w:type="dxa" w:w="2592"/>
          </w:tcPr>
          <w:p>
            <w:r/>
            <w:r>
              <w:rPr>
                <w:sz w:val="17"/>
              </w:rPr>
              <w:t>Physical application + birth/marriage cert</w:t>
            </w:r>
          </w:p>
        </w:tc>
        <w:tc>
          <w:tcPr>
            <w:tcW w:type="dxa" w:w="2592"/>
          </w:tcPr>
          <w:p>
            <w:r/>
            <w:r>
              <w:rPr>
                <w:sz w:val="17"/>
              </w:rPr>
              <w:t>Risk of exceeding family quota (15 members)</w:t>
            </w:r>
          </w:p>
        </w:tc>
      </w:tr>
      <w:tr>
        <w:tc>
          <w:tcPr>
            <w:tcW w:type="dxa" w:w="2160"/>
          </w:tcPr>
          <w:p>
            <w:r/>
            <w:r>
              <w:rPr>
                <w:sz w:val="17"/>
              </w:rPr>
              <w:t>Removing Family Member</w:t>
            </w:r>
          </w:p>
        </w:tc>
        <w:tc>
          <w:tcPr>
            <w:tcW w:type="dxa" w:w="1008"/>
          </w:tcPr>
          <w:p>
            <w:r/>
            <w:r>
              <w:rPr>
                <w:sz w:val="17"/>
              </w:rPr>
              <w:t>400</w:t>
            </w:r>
          </w:p>
        </w:tc>
        <w:tc>
          <w:tcPr>
            <w:tcW w:type="dxa" w:w="864"/>
          </w:tcPr>
          <w:p>
            <w:r/>
            <w:r>
              <w:rPr>
                <w:sz w:val="17"/>
              </w:rPr>
              <w:t>10%</w:t>
            </w:r>
          </w:p>
        </w:tc>
        <w:tc>
          <w:tcPr>
            <w:tcW w:type="dxa" w:w="2592"/>
          </w:tcPr>
          <w:p>
            <w:r/>
            <w:r>
              <w:rPr>
                <w:sz w:val="17"/>
              </w:rPr>
              <w:t>Physical application + death/migration proof</w:t>
            </w:r>
          </w:p>
        </w:tc>
        <w:tc>
          <w:tcPr>
            <w:tcW w:type="dxa" w:w="2592"/>
          </w:tcPr>
          <w:p>
            <w:r/>
            <w:r>
              <w:rPr>
                <w:sz w:val="17"/>
              </w:rPr>
              <w:t>Manual verification of remaining members &gt;= 1</w:t>
            </w:r>
          </w:p>
        </w:tc>
      </w:tr>
      <w:tr>
        <w:tc>
          <w:tcPr>
            <w:tcW w:type="dxa" w:w="2160"/>
          </w:tcPr>
          <w:p>
            <w:r/>
            <w:r>
              <w:rPr>
                <w:sz w:val="17"/>
              </w:rPr>
              <w:t>Address / FPS Change</w:t>
            </w:r>
          </w:p>
        </w:tc>
        <w:tc>
          <w:tcPr>
            <w:tcW w:type="dxa" w:w="1008"/>
          </w:tcPr>
          <w:p>
            <w:r/>
            <w:r>
              <w:rPr>
                <w:sz w:val="17"/>
              </w:rPr>
              <w:t>800</w:t>
            </w:r>
          </w:p>
        </w:tc>
        <w:tc>
          <w:tcPr>
            <w:tcW w:type="dxa" w:w="864"/>
          </w:tcPr>
          <w:p>
            <w:r/>
            <w:r>
              <w:rPr>
                <w:sz w:val="17"/>
              </w:rPr>
              <w:t>20%</w:t>
            </w:r>
          </w:p>
        </w:tc>
        <w:tc>
          <w:tcPr>
            <w:tcW w:type="dxa" w:w="2592"/>
          </w:tcPr>
          <w:p>
            <w:r/>
            <w:r>
              <w:rPr>
                <w:sz w:val="17"/>
              </w:rPr>
              <w:t>Physical application + new electricity/rent bill</w:t>
            </w:r>
          </w:p>
        </w:tc>
        <w:tc>
          <w:tcPr>
            <w:tcW w:type="dxa" w:w="2592"/>
          </w:tcPr>
          <w:p>
            <w:r/>
            <w:r>
              <w:rPr>
                <w:sz w:val="17"/>
              </w:rPr>
              <w:t>Boundary verification within same district</w:t>
            </w:r>
          </w:p>
        </w:tc>
      </w:tr>
      <w:tr>
        <w:tc>
          <w:tcPr>
            <w:tcW w:type="dxa" w:w="2160"/>
          </w:tcPr>
          <w:p>
            <w:r/>
            <w:r>
              <w:rPr>
                <w:sz w:val="17"/>
              </w:rPr>
              <w:t>Duplicate Card Issuance</w:t>
            </w:r>
          </w:p>
        </w:tc>
        <w:tc>
          <w:tcPr>
            <w:tcW w:type="dxa" w:w="1008"/>
          </w:tcPr>
          <w:p>
            <w:r/>
            <w:r>
              <w:rPr>
                <w:sz w:val="17"/>
              </w:rPr>
              <w:t>600</w:t>
            </w:r>
          </w:p>
        </w:tc>
        <w:tc>
          <w:tcPr>
            <w:tcW w:type="dxa" w:w="864"/>
          </w:tcPr>
          <w:p>
            <w:r/>
            <w:r>
              <w:rPr>
                <w:sz w:val="17"/>
              </w:rPr>
              <w:t>15%</w:t>
            </w:r>
          </w:p>
        </w:tc>
        <w:tc>
          <w:tcPr>
            <w:tcW w:type="dxa" w:w="2592"/>
          </w:tcPr>
          <w:p>
            <w:r/>
            <w:r>
              <w:rPr>
                <w:sz w:val="17"/>
              </w:rPr>
              <w:t>Affidavit/FIR submission + ledger search</w:t>
            </w:r>
          </w:p>
        </w:tc>
        <w:tc>
          <w:tcPr>
            <w:tcW w:type="dxa" w:w="2592"/>
          </w:tcPr>
          <w:p>
            <w:r/>
            <w:r>
              <w:rPr>
                <w:sz w:val="17"/>
              </w:rPr>
              <w:t>Manual search through old paper registers</w:t>
            </w:r>
          </w:p>
        </w:tc>
      </w:tr>
      <w:tr>
        <w:tc>
          <w:tcPr>
            <w:tcW w:type="dxa" w:w="2160"/>
          </w:tcPr>
          <w:p>
            <w:r/>
            <w:r>
              <w:rPr>
                <w:sz w:val="17"/>
              </w:rPr>
              <w:t>Total Monthly Volume</w:t>
            </w:r>
          </w:p>
        </w:tc>
        <w:tc>
          <w:tcPr>
            <w:tcW w:type="dxa" w:w="1008"/>
          </w:tcPr>
          <w:p>
            <w:r/>
            <w:r>
              <w:rPr>
                <w:sz w:val="17"/>
              </w:rPr>
              <w:t>4,000</w:t>
            </w:r>
          </w:p>
        </w:tc>
        <w:tc>
          <w:tcPr>
            <w:tcW w:type="dxa" w:w="864"/>
          </w:tcPr>
          <w:p>
            <w:r/>
            <w:r>
              <w:rPr>
                <w:sz w:val="17"/>
              </w:rPr>
              <w:t>100%</w:t>
            </w:r>
          </w:p>
        </w:tc>
        <w:tc>
          <w:tcPr>
            <w:tcW w:type="dxa" w:w="2592"/>
          </w:tcPr>
          <w:p>
            <w:r/>
            <w:r>
              <w:rPr>
                <w:sz w:val="17"/>
              </w:rPr>
              <w:t>Paper files moved by hand between desks</w:t>
            </w:r>
          </w:p>
        </w:tc>
        <w:tc>
          <w:tcPr>
            <w:tcW w:type="dxa" w:w="2592"/>
          </w:tcPr>
          <w:p>
            <w:r/>
            <w:r>
              <w:rPr>
                <w:sz w:val="17"/>
              </w:rPr>
              <w:t>High administrative overhead</w:t>
            </w:r>
          </w:p>
        </w:tc>
      </w:tr>
    </w:tbl>
    <w:p>
      <w:pPr>
        <w:spacing w:after="40"/>
      </w:pPr>
    </w:p>
    <w:p>
      <w:pPr>
        <w:pStyle w:val="ListBullet"/>
        <w:spacing w:after="20"/>
      </w:pPr>
      <w:r>
        <w:rPr>
          <w:b/>
        </w:rPr>
        <w:t xml:space="preserve">The Misplaced File Crisis (120 files/month): </w:t>
      </w:r>
      <w:r>
        <w:t>Exactly 3% of all physical requests are misplaced, lost in transit between clerical desks and officer chambers, or filed under incorrect serial numbers. With 4,000 monthly requests, this results in 120 misplaced files every month (1,440 files annually). Each misplaced file requires complete re-application, manual dossier reconstruction, citizen distress, and severe audit vulnerability.</w:t>
      </w:r>
    </w:p>
    <w:p>
      <w:pPr>
        <w:pStyle w:val="ListBullet"/>
        <w:spacing w:after="20"/>
      </w:pPr>
      <w:r>
        <w:rPr>
          <w:b/>
        </w:rPr>
        <w:t xml:space="preserve">Excessive Citizen Footfall (2.8 to 4 visits per request): </w:t>
      </w:r>
      <w:r>
        <w:t>Due to lack of transparent status tracking, citizens must travel to the DSO multiple times: (1) Form collection and requirement enquiry, (2) Application and document submission, (3) Mid-process status enquiries or rectifying unnoticed document defects, and (4) Collecting the physical card or endorsement. This imposes heavy wage loss and travel expenditure on economically vulnerable families.</w:t>
      </w:r>
    </w:p>
    <w:p>
      <w:pPr>
        <w:pStyle w:val="ListBullet"/>
        <w:spacing w:after="20"/>
      </w:pPr>
      <w:r>
        <w:rPr>
          <w:b/>
        </w:rPr>
        <w:t xml:space="preserve">Operational Constraints of Supply Staff: </w:t>
      </w:r>
      <w:r>
        <w:t>DSO clerical staff have limited computer literacy and keyboard proficiency. Systems requiring complex multi-window navigation or cryptic technical inputs inevitably fail or lead to shadow paper books. The UI must therefore be high-contrast, large-font, and structured in at most 3 intuitive steps.</w:t>
      </w:r>
    </w:p>
    <w:p>
      <w:pPr>
        <w:pStyle w:val="ListBullet"/>
        <w:spacing w:after="20"/>
      </w:pPr>
      <w:r>
        <w:rPr>
          <w:b/>
        </w:rPr>
        <w:t xml:space="preserve">Impending State Rule Changes: </w:t>
      </w:r>
      <w:r>
        <w:t>State eligibility guidelines (such as household annual income thresholds, document mandates, and category quotas) are subject to revision by Government Orders (GO) within the year. Hard-coded software logic would require costly and slow developer redeployments; rules must therefore be data-driven and version-controlled.</w:t>
      </w:r>
    </w:p>
    <w:p>
      <w:pPr>
        <w:pStyle w:val="Heading1"/>
      </w:pPr>
      <w:r>
        <w:rPr>
          <w:color w:val="0B3D91"/>
        </w:rPr>
        <w:t>3. Current State (As-Is) vs. Future State (To-Be) Analysis</w:t>
      </w:r>
    </w:p>
    <w:p>
      <w:pPr>
        <w:spacing w:after="80"/>
      </w:pPr>
      <w:r>
        <w:t>The transition from the legacy paper-and-spill register environment to the RationSeva digital portal is summarized across seven operational dimensions:</w:t>
      </w:r>
    </w:p>
    <w:tbl>
      <w:tblPr>
        <w:tblStyle w:val="TableGrid"/>
        <w:tblW w:type="auto" w:w="0"/>
        <w:jc w:val="center"/>
        <w:tblLook w:firstColumn="1" w:firstRow="1" w:lastColumn="0" w:lastRow="0" w:noHBand="0" w:noVBand="1" w:val="04A0"/>
      </w:tblPr>
      <w:tblGrid>
        <w:gridCol w:w="2412"/>
        <w:gridCol w:w="2412"/>
        <w:gridCol w:w="2412"/>
        <w:gridCol w:w="2412"/>
      </w:tblGrid>
      <w:tr>
        <w:tc>
          <w:tcPr>
            <w:tcW w:type="dxa" w:w="1728"/>
            <w:shd w:val="clear" w:color="auto" w:fill="0B3D91"/>
          </w:tcPr>
          <w:p>
            <w:r/>
            <w:r>
              <w:rPr>
                <w:b/>
                <w:color w:val="FFFFFF"/>
                <w:sz w:val="16"/>
              </w:rPr>
              <w:t>Operational Dimension</w:t>
            </w:r>
          </w:p>
        </w:tc>
        <w:tc>
          <w:tcPr>
            <w:tcW w:type="dxa" w:w="2448"/>
            <w:shd w:val="clear" w:color="auto" w:fill="0B3D91"/>
          </w:tcPr>
          <w:p>
            <w:r/>
            <w:r>
              <w:rPr>
                <w:b/>
                <w:color w:val="FFFFFF"/>
                <w:sz w:val="16"/>
              </w:rPr>
              <w:t>Current State (As-Is)</w:t>
            </w:r>
          </w:p>
        </w:tc>
        <w:tc>
          <w:tcPr>
            <w:tcW w:type="dxa" w:w="2592"/>
            <w:shd w:val="clear" w:color="auto" w:fill="0B3D91"/>
          </w:tcPr>
          <w:p>
            <w:r/>
            <w:r>
              <w:rPr>
                <w:b/>
                <w:color w:val="FFFFFF"/>
                <w:sz w:val="16"/>
              </w:rPr>
              <w:t>Target State (To-Be)</w:t>
            </w:r>
          </w:p>
        </w:tc>
        <w:tc>
          <w:tcPr>
            <w:tcW w:type="dxa" w:w="2448"/>
            <w:shd w:val="clear" w:color="auto" w:fill="0B3D91"/>
          </w:tcPr>
          <w:p>
            <w:r/>
            <w:r>
              <w:rPr>
                <w:b/>
                <w:color w:val="FFFFFF"/>
                <w:sz w:val="16"/>
              </w:rPr>
              <w:t>Business Impact / Value</w:t>
            </w:r>
          </w:p>
        </w:tc>
      </w:tr>
      <w:tr>
        <w:tc>
          <w:tcPr>
            <w:tcW w:type="dxa" w:w="1728"/>
          </w:tcPr>
          <w:p>
            <w:r/>
            <w:r>
              <w:rPr>
                <w:sz w:val="16"/>
              </w:rPr>
              <w:t>Application Intake</w:t>
            </w:r>
          </w:p>
        </w:tc>
        <w:tc>
          <w:tcPr>
            <w:tcW w:type="dxa" w:w="2448"/>
          </w:tcPr>
          <w:p>
            <w:r/>
            <w:r>
              <w:rPr>
                <w:sz w:val="16"/>
              </w:rPr>
              <w:t>Physical queue at DSO counter; paper forms and photocopies</w:t>
            </w:r>
          </w:p>
        </w:tc>
        <w:tc>
          <w:tcPr>
            <w:tcW w:type="dxa" w:w="2592"/>
          </w:tcPr>
          <w:p>
            <w:r/>
            <w:r>
              <w:rPr>
                <w:sz w:val="16"/>
              </w:rPr>
              <w:t>Online self-service portal + mobile OTP login</w:t>
            </w:r>
          </w:p>
        </w:tc>
        <w:tc>
          <w:tcPr>
            <w:tcW w:type="dxa" w:w="2448"/>
          </w:tcPr>
          <w:p>
            <w:r/>
            <w:r>
              <w:rPr>
                <w:sz w:val="16"/>
              </w:rPr>
              <w:t>Eliminates counter congestion; 24x7 submission</w:t>
            </w:r>
          </w:p>
        </w:tc>
      </w:tr>
      <w:tr>
        <w:tc>
          <w:tcPr>
            <w:tcW w:type="dxa" w:w="1728"/>
          </w:tcPr>
          <w:p>
            <w:r/>
            <w:r>
              <w:rPr>
                <w:sz w:val="16"/>
              </w:rPr>
              <w:t>Document Handling</w:t>
            </w:r>
          </w:p>
        </w:tc>
        <w:tc>
          <w:tcPr>
            <w:tcW w:type="dxa" w:w="2448"/>
          </w:tcPr>
          <w:p>
            <w:r/>
            <w:r>
              <w:rPr>
                <w:sz w:val="16"/>
              </w:rPr>
              <w:t>Photocopies stapled to physical dossier; physical storage</w:t>
            </w:r>
          </w:p>
        </w:tc>
        <w:tc>
          <w:tcPr>
            <w:tcW w:type="dxa" w:w="2592"/>
          </w:tcPr>
          <w:p>
            <w:r/>
            <w:r>
              <w:rPr>
                <w:sz w:val="16"/>
              </w:rPr>
              <w:t>Direct digital upload (PDF/JPG, max 2 MB per file)</w:t>
            </w:r>
          </w:p>
        </w:tc>
        <w:tc>
          <w:tcPr>
            <w:tcW w:type="dxa" w:w="2448"/>
          </w:tcPr>
          <w:p>
            <w:r/>
            <w:r>
              <w:rPr>
                <w:sz w:val="16"/>
              </w:rPr>
              <w:t>Eliminates paper storage; zero dossier misplacement</w:t>
            </w:r>
          </w:p>
        </w:tc>
      </w:tr>
      <w:tr>
        <w:tc>
          <w:tcPr>
            <w:tcW w:type="dxa" w:w="1728"/>
          </w:tcPr>
          <w:p>
            <w:r/>
            <w:r>
              <w:rPr>
                <w:sz w:val="16"/>
              </w:rPr>
              <w:t>Eligibility Evaluation</w:t>
            </w:r>
          </w:p>
        </w:tc>
        <w:tc>
          <w:tcPr>
            <w:tcW w:type="dxa" w:w="2448"/>
          </w:tcPr>
          <w:p>
            <w:r/>
            <w:r>
              <w:rPr>
                <w:sz w:val="16"/>
              </w:rPr>
              <w:t>Manual inspection of income slips by dealing clerk</w:t>
            </w:r>
          </w:p>
        </w:tc>
        <w:tc>
          <w:tcPr>
            <w:tcW w:type="dxa" w:w="2592"/>
          </w:tcPr>
          <w:p>
            <w:r/>
            <w:r>
              <w:rPr>
                <w:sz w:val="16"/>
              </w:rPr>
              <w:t>Automated pre-submission validation via Rule Engine</w:t>
            </w:r>
          </w:p>
        </w:tc>
        <w:tc>
          <w:tcPr>
            <w:tcW w:type="dxa" w:w="2448"/>
          </w:tcPr>
          <w:p>
            <w:r/>
            <w:r>
              <w:rPr>
                <w:sz w:val="16"/>
              </w:rPr>
              <w:t>Prevents invalid applications before entering queue</w:t>
            </w:r>
          </w:p>
        </w:tc>
      </w:tr>
      <w:tr>
        <w:tc>
          <w:tcPr>
            <w:tcW w:type="dxa" w:w="1728"/>
          </w:tcPr>
          <w:p>
            <w:r/>
            <w:r>
              <w:rPr>
                <w:sz w:val="16"/>
              </w:rPr>
              <w:t>Work Distribution</w:t>
            </w:r>
          </w:p>
        </w:tc>
        <w:tc>
          <w:tcPr>
            <w:tcW w:type="dxa" w:w="2448"/>
          </w:tcPr>
          <w:p>
            <w:r/>
            <w:r>
              <w:rPr>
                <w:sz w:val="16"/>
              </w:rPr>
              <w:t>Paper files stacked on desks; vulnerable to cherry-picking</w:t>
            </w:r>
          </w:p>
        </w:tc>
        <w:tc>
          <w:tcPr>
            <w:tcW w:type="dxa" w:w="2592"/>
          </w:tcPr>
          <w:p>
            <w:r/>
            <w:r>
              <w:rPr>
                <w:sz w:val="16"/>
              </w:rPr>
              <w:t>Centralized digital queue sorted strictly by FIFO &amp; SLA</w:t>
            </w:r>
          </w:p>
        </w:tc>
        <w:tc>
          <w:tcPr>
            <w:tcW w:type="dxa" w:w="2448"/>
          </w:tcPr>
          <w:p>
            <w:r/>
            <w:r>
              <w:rPr>
                <w:sz w:val="16"/>
              </w:rPr>
              <w:t>Guaranteed fairness; oldest applications reviewed first</w:t>
            </w:r>
          </w:p>
        </w:tc>
      </w:tr>
      <w:tr>
        <w:tc>
          <w:tcPr>
            <w:tcW w:type="dxa" w:w="1728"/>
          </w:tcPr>
          <w:p>
            <w:r/>
            <w:r>
              <w:rPr>
                <w:sz w:val="16"/>
              </w:rPr>
              <w:t>Adjudication</w:t>
            </w:r>
          </w:p>
        </w:tc>
        <w:tc>
          <w:tcPr>
            <w:tcW w:type="dxa" w:w="2448"/>
          </w:tcPr>
          <w:p>
            <w:r/>
            <w:r>
              <w:rPr>
                <w:sz w:val="16"/>
              </w:rPr>
              <w:t>Pen endorsement in ledger; unrecorded verbal rejections</w:t>
            </w:r>
          </w:p>
        </w:tc>
        <w:tc>
          <w:tcPr>
            <w:tcW w:type="dxa" w:w="2592"/>
          </w:tcPr>
          <w:p>
            <w:r/>
            <w:r>
              <w:rPr>
                <w:sz w:val="16"/>
              </w:rPr>
              <w:t>Digital Approve/Reject/Return with mandatory remarks</w:t>
            </w:r>
          </w:p>
        </w:tc>
        <w:tc>
          <w:tcPr>
            <w:tcW w:type="dxa" w:w="2448"/>
          </w:tcPr>
          <w:p>
            <w:r/>
            <w:r>
              <w:rPr>
                <w:sz w:val="16"/>
              </w:rPr>
              <w:t>Complete accountability; transparent citizen recourse</w:t>
            </w:r>
          </w:p>
        </w:tc>
      </w:tr>
      <w:tr>
        <w:tc>
          <w:tcPr>
            <w:tcW w:type="dxa" w:w="1728"/>
          </w:tcPr>
          <w:p>
            <w:r/>
            <w:r>
              <w:rPr>
                <w:sz w:val="16"/>
              </w:rPr>
              <w:t>Status Transparency</w:t>
            </w:r>
          </w:p>
        </w:tc>
        <w:tc>
          <w:tcPr>
            <w:tcW w:type="dxa" w:w="2448"/>
          </w:tcPr>
          <w:p>
            <w:r/>
            <w:r>
              <w:rPr>
                <w:sz w:val="16"/>
              </w:rPr>
              <w:t>Nil; citizens must visit DSO physically to ask clerks</w:t>
            </w:r>
          </w:p>
        </w:tc>
        <w:tc>
          <w:tcPr>
            <w:tcW w:type="dxa" w:w="2592"/>
          </w:tcPr>
          <w:p>
            <w:r/>
            <w:r>
              <w:rPr>
                <w:sz w:val="16"/>
              </w:rPr>
              <w:t>Real-time online tracking + automated SMS at every milestone</w:t>
            </w:r>
          </w:p>
        </w:tc>
        <w:tc>
          <w:tcPr>
            <w:tcW w:type="dxa" w:w="2448"/>
          </w:tcPr>
          <w:p>
            <w:r/>
            <w:r>
              <w:rPr>
                <w:sz w:val="16"/>
              </w:rPr>
              <w:t>Reduces physical visits from ~3 to &lt;= 0.2 per request</w:t>
            </w:r>
          </w:p>
        </w:tc>
      </w:tr>
      <w:tr>
        <w:tc>
          <w:tcPr>
            <w:tcW w:type="dxa" w:w="1728"/>
          </w:tcPr>
          <w:p>
            <w:r/>
            <w:r>
              <w:rPr>
                <w:sz w:val="16"/>
              </w:rPr>
              <w:t>Policy Updates</w:t>
            </w:r>
          </w:p>
        </w:tc>
        <w:tc>
          <w:tcPr>
            <w:tcW w:type="dxa" w:w="2448"/>
          </w:tcPr>
          <w:p>
            <w:r/>
            <w:r>
              <w:rPr>
                <w:sz w:val="16"/>
              </w:rPr>
              <w:t>Circulars manually interpreted; months of inconsistent rules</w:t>
            </w:r>
          </w:p>
        </w:tc>
        <w:tc>
          <w:tcPr>
            <w:tcW w:type="dxa" w:w="2592"/>
          </w:tcPr>
          <w:p>
            <w:r/>
            <w:r>
              <w:rPr>
                <w:sz w:val="16"/>
              </w:rPr>
              <w:t>Admin screen with versioned rules &amp; effective dates</w:t>
            </w:r>
          </w:p>
        </w:tc>
        <w:tc>
          <w:tcPr>
            <w:tcW w:type="dxa" w:w="2448"/>
          </w:tcPr>
          <w:p>
            <w:r/>
            <w:r>
              <w:rPr>
                <w:sz w:val="16"/>
              </w:rPr>
              <w:t>Rule change live within 1 working day; zero code change</w:t>
            </w:r>
          </w:p>
        </w:tc>
      </w:tr>
    </w:tbl>
    <w:p>
      <w:pPr>
        <w:spacing w:after="40"/>
      </w:pPr>
    </w:p>
    <w:p>
      <w:pPr>
        <w:pStyle w:val="Heading1"/>
      </w:pPr>
      <w:r>
        <w:rPr>
          <w:color w:val="0B3D91"/>
        </w:rPr>
        <w:t>4. Business Objectives &amp; Measurable Target KPIs</w:t>
      </w:r>
    </w:p>
    <w:p>
      <w:pPr>
        <w:spacing w:after="80"/>
      </w:pPr>
      <w:r>
        <w:t>The success of the RationSeva implementation will be evaluated against strict, quantifiable metrics monitored over 6-month and 12-month post-go-live intervals:</w:t>
      </w:r>
    </w:p>
    <w:tbl>
      <w:tblPr>
        <w:tblStyle w:val="TableGrid"/>
        <w:tblW w:type="auto" w:w="0"/>
        <w:jc w:val="center"/>
        <w:tblLook w:firstColumn="1" w:firstRow="1" w:lastColumn="0" w:lastRow="0" w:noHBand="0" w:noVBand="1" w:val="04A0"/>
      </w:tblPr>
      <w:tblGrid>
        <w:gridCol w:w="1930"/>
        <w:gridCol w:w="1930"/>
        <w:gridCol w:w="1930"/>
        <w:gridCol w:w="1930"/>
        <w:gridCol w:w="1930"/>
      </w:tblGrid>
      <w:tr>
        <w:tc>
          <w:tcPr>
            <w:tcW w:type="dxa" w:w="1872"/>
            <w:shd w:val="clear" w:color="auto" w:fill="0B3D91"/>
          </w:tcPr>
          <w:p>
            <w:r/>
            <w:r>
              <w:rPr>
                <w:b/>
                <w:color w:val="FFFFFF"/>
                <w:sz w:val="16"/>
              </w:rPr>
              <w:t>Business Objective</w:t>
            </w:r>
          </w:p>
        </w:tc>
        <w:tc>
          <w:tcPr>
            <w:tcW w:type="dxa" w:w="2016"/>
            <w:shd w:val="clear" w:color="auto" w:fill="0B3D91"/>
          </w:tcPr>
          <w:p>
            <w:r/>
            <w:r>
              <w:rPr>
                <w:b/>
                <w:color w:val="FFFFFF"/>
                <w:sz w:val="16"/>
              </w:rPr>
              <w:t>Metric &amp; Baseline (As-Is)</w:t>
            </w:r>
          </w:p>
        </w:tc>
        <w:tc>
          <w:tcPr>
            <w:tcW w:type="dxa" w:w="1728"/>
            <w:shd w:val="clear" w:color="auto" w:fill="0B3D91"/>
          </w:tcPr>
          <w:p>
            <w:r/>
            <w:r>
              <w:rPr>
                <w:b/>
                <w:color w:val="FFFFFF"/>
                <w:sz w:val="16"/>
              </w:rPr>
              <w:t>6-Month Target</w:t>
            </w:r>
          </w:p>
        </w:tc>
        <w:tc>
          <w:tcPr>
            <w:tcW w:type="dxa" w:w="1728"/>
            <w:shd w:val="clear" w:color="auto" w:fill="0B3D91"/>
          </w:tcPr>
          <w:p>
            <w:r/>
            <w:r>
              <w:rPr>
                <w:b/>
                <w:color w:val="FFFFFF"/>
                <w:sz w:val="16"/>
              </w:rPr>
              <w:t>12-Month Target</w:t>
            </w:r>
          </w:p>
        </w:tc>
        <w:tc>
          <w:tcPr>
            <w:tcW w:type="dxa" w:w="1872"/>
            <w:shd w:val="clear" w:color="auto" w:fill="0B3D91"/>
          </w:tcPr>
          <w:p>
            <w:r/>
            <w:r>
              <w:rPr>
                <w:b/>
                <w:color w:val="FFFFFF"/>
                <w:sz w:val="16"/>
              </w:rPr>
              <w:t>Verification Method</w:t>
            </w:r>
          </w:p>
        </w:tc>
      </w:tr>
      <w:tr>
        <w:tc>
          <w:tcPr>
            <w:tcW w:type="dxa" w:w="1872"/>
          </w:tcPr>
          <w:p>
            <w:r/>
            <w:r>
              <w:rPr>
                <w:sz w:val="16"/>
              </w:rPr>
              <w:t>Eliminate File Loss</w:t>
            </w:r>
          </w:p>
        </w:tc>
        <w:tc>
          <w:tcPr>
            <w:tcW w:type="dxa" w:w="2016"/>
          </w:tcPr>
          <w:p>
            <w:r/>
            <w:r>
              <w:rPr>
                <w:sz w:val="16"/>
              </w:rPr>
              <w:t>120 misplaced files/month (3% of 4,000)</w:t>
            </w:r>
          </w:p>
        </w:tc>
        <w:tc>
          <w:tcPr>
            <w:tcW w:type="dxa" w:w="1728"/>
          </w:tcPr>
          <w:p>
            <w:r/>
            <w:r>
              <w:rPr>
                <w:sz w:val="16"/>
              </w:rPr>
              <w:t>0 lost files (100% digital)</w:t>
            </w:r>
          </w:p>
        </w:tc>
        <w:tc>
          <w:tcPr>
            <w:tcW w:type="dxa" w:w="1728"/>
          </w:tcPr>
          <w:p>
            <w:r/>
            <w:r>
              <w:rPr>
                <w:sz w:val="16"/>
              </w:rPr>
              <w:t>0 lost files (100% digital)</w:t>
            </w:r>
          </w:p>
        </w:tc>
        <w:tc>
          <w:tcPr>
            <w:tcW w:type="dxa" w:w="1872"/>
          </w:tcPr>
          <w:p>
            <w:r/>
            <w:r>
              <w:rPr>
                <w:sz w:val="16"/>
              </w:rPr>
              <w:t>Monthly digital audit log vs physical grievance log</w:t>
            </w:r>
          </w:p>
        </w:tc>
      </w:tr>
      <w:tr>
        <w:tc>
          <w:tcPr>
            <w:tcW w:type="dxa" w:w="1872"/>
          </w:tcPr>
          <w:p>
            <w:r/>
            <w:r>
              <w:rPr>
                <w:sz w:val="16"/>
              </w:rPr>
              <w:t>Reduce Citizen Footfall</w:t>
            </w:r>
          </w:p>
        </w:tc>
        <w:tc>
          <w:tcPr>
            <w:tcW w:type="dxa" w:w="2016"/>
          </w:tcPr>
          <w:p>
            <w:r/>
            <w:r>
              <w:rPr>
                <w:sz w:val="16"/>
              </w:rPr>
              <w:t>2.8 to 4 physical visits per request</w:t>
            </w:r>
          </w:p>
        </w:tc>
        <w:tc>
          <w:tcPr>
            <w:tcW w:type="dxa" w:w="1728"/>
          </w:tcPr>
          <w:p>
            <w:r/>
            <w:r>
              <w:rPr>
                <w:sz w:val="16"/>
              </w:rPr>
              <w:t>&lt;= 0.5 visits per request</w:t>
            </w:r>
          </w:p>
        </w:tc>
        <w:tc>
          <w:tcPr>
            <w:tcW w:type="dxa" w:w="1728"/>
          </w:tcPr>
          <w:p>
            <w:r/>
            <w:r>
              <w:rPr>
                <w:sz w:val="16"/>
              </w:rPr>
              <w:t>&lt;= 0.2 visits (exceptions only)</w:t>
            </w:r>
          </w:p>
        </w:tc>
        <w:tc>
          <w:tcPr>
            <w:tcW w:type="dxa" w:w="1872"/>
          </w:tcPr>
          <w:p>
            <w:r/>
            <w:r>
              <w:rPr>
                <w:sz w:val="16"/>
              </w:rPr>
              <w:t>Citizen entry register &amp; helpdesk survey</w:t>
            </w:r>
          </w:p>
        </w:tc>
      </w:tr>
      <w:tr>
        <w:tc>
          <w:tcPr>
            <w:tcW w:type="dxa" w:w="1872"/>
          </w:tcPr>
          <w:p>
            <w:r/>
            <w:r>
              <w:rPr>
                <w:sz w:val="16"/>
              </w:rPr>
              <w:t>Statutory SLA Compliance</w:t>
            </w:r>
          </w:p>
        </w:tc>
        <w:tc>
          <w:tcPr>
            <w:tcW w:type="dxa" w:w="2016"/>
          </w:tcPr>
          <w:p>
            <w:r/>
            <w:r>
              <w:rPr>
                <w:sz w:val="16"/>
              </w:rPr>
              <w:t>Average TAT: 32 days; 42% breaches</w:t>
            </w:r>
          </w:p>
        </w:tc>
        <w:tc>
          <w:tcPr>
            <w:tcW w:type="dxa" w:w="1728"/>
          </w:tcPr>
          <w:p>
            <w:r/>
            <w:r>
              <w:rPr>
                <w:sz w:val="16"/>
              </w:rPr>
              <w:t>&gt;= 90% decided in &lt;= 15 days</w:t>
            </w:r>
          </w:p>
        </w:tc>
        <w:tc>
          <w:tcPr>
            <w:tcW w:type="dxa" w:w="1728"/>
          </w:tcPr>
          <w:p>
            <w:r/>
            <w:r>
              <w:rPr>
                <w:sz w:val="16"/>
              </w:rPr>
              <w:t>&gt;= 98% decided in &lt;= 15 days</w:t>
            </w:r>
          </w:p>
        </w:tc>
        <w:tc>
          <w:tcPr>
            <w:tcW w:type="dxa" w:w="1872"/>
          </w:tcPr>
          <w:p>
            <w:r/>
            <w:r>
              <w:rPr>
                <w:sz w:val="16"/>
              </w:rPr>
              <w:t>Automated SLA tracking report in portal MIS</w:t>
            </w:r>
          </w:p>
        </w:tc>
      </w:tr>
      <w:tr>
        <w:tc>
          <w:tcPr>
            <w:tcW w:type="dxa" w:w="1872"/>
          </w:tcPr>
          <w:p>
            <w:r/>
            <w:r>
              <w:rPr>
                <w:sz w:val="16"/>
              </w:rPr>
              <w:t>Communication Transparency</w:t>
            </w:r>
          </w:p>
        </w:tc>
        <w:tc>
          <w:tcPr>
            <w:tcW w:type="dxa" w:w="2016"/>
          </w:tcPr>
          <w:p>
            <w:r/>
            <w:r>
              <w:rPr>
                <w:sz w:val="16"/>
              </w:rPr>
              <w:t>0% automated notifications</w:t>
            </w:r>
          </w:p>
        </w:tc>
        <w:tc>
          <w:tcPr>
            <w:tcW w:type="dxa" w:w="1728"/>
          </w:tcPr>
          <w:p>
            <w:r/>
            <w:r>
              <w:rPr>
                <w:sz w:val="16"/>
              </w:rPr>
              <w:t>100% status updates triggered</w:t>
            </w:r>
          </w:p>
        </w:tc>
        <w:tc>
          <w:tcPr>
            <w:tcW w:type="dxa" w:w="1728"/>
          </w:tcPr>
          <w:p>
            <w:r/>
            <w:r>
              <w:rPr>
                <w:sz w:val="16"/>
              </w:rPr>
              <w:t>100% status updates triggered</w:t>
            </w:r>
          </w:p>
        </w:tc>
        <w:tc>
          <w:tcPr>
            <w:tcW w:type="dxa" w:w="1872"/>
          </w:tcPr>
          <w:p>
            <w:r/>
            <w:r>
              <w:rPr>
                <w:sz w:val="16"/>
              </w:rPr>
              <w:t>SMS gateway delivery receipts &amp; logs</w:t>
            </w:r>
          </w:p>
        </w:tc>
      </w:tr>
      <w:tr>
        <w:tc>
          <w:tcPr>
            <w:tcW w:type="dxa" w:w="1872"/>
          </w:tcPr>
          <w:p>
            <w:r/>
            <w:r>
              <w:rPr>
                <w:sz w:val="16"/>
              </w:rPr>
              <w:t>Policy Evolution Agility</w:t>
            </w:r>
          </w:p>
        </w:tc>
        <w:tc>
          <w:tcPr>
            <w:tcW w:type="dxa" w:w="2016"/>
          </w:tcPr>
          <w:p>
            <w:r/>
            <w:r>
              <w:rPr>
                <w:sz w:val="16"/>
              </w:rPr>
              <w:t>4 to 6 weeks manual implementation</w:t>
            </w:r>
          </w:p>
        </w:tc>
        <w:tc>
          <w:tcPr>
            <w:tcW w:type="dxa" w:w="1728"/>
          </w:tcPr>
          <w:p>
            <w:r/>
            <w:r>
              <w:rPr>
                <w:sz w:val="16"/>
              </w:rPr>
              <w:t>&lt;= 1 working day via admin UI</w:t>
            </w:r>
          </w:p>
        </w:tc>
        <w:tc>
          <w:tcPr>
            <w:tcW w:type="dxa" w:w="1728"/>
          </w:tcPr>
          <w:p>
            <w:r/>
            <w:r>
              <w:rPr>
                <w:sz w:val="16"/>
              </w:rPr>
              <w:t>&lt;= 4 hours via admin UI</w:t>
            </w:r>
          </w:p>
        </w:tc>
        <w:tc>
          <w:tcPr>
            <w:tcW w:type="dxa" w:w="1872"/>
          </w:tcPr>
          <w:p>
            <w:r/>
            <w:r>
              <w:rPr>
                <w:sz w:val="16"/>
              </w:rPr>
              <w:t>Rule change drill timestamp logs</w:t>
            </w:r>
          </w:p>
        </w:tc>
      </w:tr>
      <w:tr>
        <w:tc>
          <w:tcPr>
            <w:tcW w:type="dxa" w:w="1872"/>
          </w:tcPr>
          <w:p>
            <w:r/>
            <w:r>
              <w:rPr>
                <w:sz w:val="16"/>
              </w:rPr>
              <w:t>Staff Processing Efficiency</w:t>
            </w:r>
          </w:p>
        </w:tc>
        <w:tc>
          <w:tcPr>
            <w:tcW w:type="dxa" w:w="2016"/>
          </w:tcPr>
          <w:p>
            <w:r/>
            <w:r>
              <w:rPr>
                <w:sz w:val="16"/>
              </w:rPr>
              <w:t>18 minutes manual handling per file</w:t>
            </w:r>
          </w:p>
        </w:tc>
        <w:tc>
          <w:tcPr>
            <w:tcW w:type="dxa" w:w="1728"/>
          </w:tcPr>
          <w:p>
            <w:r/>
            <w:r>
              <w:rPr>
                <w:sz w:val="16"/>
              </w:rPr>
              <w:t>&lt;= 5 minutes per application</w:t>
            </w:r>
          </w:p>
        </w:tc>
        <w:tc>
          <w:tcPr>
            <w:tcW w:type="dxa" w:w="1728"/>
          </w:tcPr>
          <w:p>
            <w:r/>
            <w:r>
              <w:rPr>
                <w:sz w:val="16"/>
              </w:rPr>
              <w:t>&lt;= 3.5 minutes per application</w:t>
            </w:r>
          </w:p>
        </w:tc>
        <w:tc>
          <w:tcPr>
            <w:tcW w:type="dxa" w:w="1872"/>
          </w:tcPr>
          <w:p>
            <w:r/>
            <w:r>
              <w:rPr>
                <w:sz w:val="16"/>
              </w:rPr>
              <w:t>Time-and-motion study during officer sessions</w:t>
            </w:r>
          </w:p>
        </w:tc>
      </w:tr>
    </w:tbl>
    <w:p>
      <w:pPr>
        <w:spacing w:after="40"/>
      </w:pPr>
    </w:p>
    <w:p>
      <w:pPr>
        <w:pStyle w:val="Heading1"/>
      </w:pPr>
      <w:r>
        <w:rPr>
          <w:color w:val="0B3D91"/>
        </w:rPr>
        <w:t>5. Comprehensive Stakeholder Analysis &amp; RACI Matrix</w:t>
      </w:r>
    </w:p>
    <w:p>
      <w:pPr>
        <w:spacing w:after="80"/>
      </w:pPr>
      <w:r>
        <w:t>RACI definitions: R = Responsible for execution; A = Accountable for final approval; C = Consulted for domain input; I = Informed of status.</w:t>
      </w:r>
    </w:p>
    <w:tbl>
      <w:tblPr>
        <w:tblStyle w:val="TableGrid"/>
        <w:tblW w:type="auto" w:w="0"/>
        <w:jc w:val="center"/>
        <w:tblLook w:firstColumn="1" w:firstRow="1" w:lastColumn="0" w:lastRow="0" w:noHBand="0" w:noVBand="1" w:val="04A0"/>
      </w:tblPr>
      <w:tblGrid>
        <w:gridCol w:w="1378"/>
        <w:gridCol w:w="1378"/>
        <w:gridCol w:w="1378"/>
        <w:gridCol w:w="1378"/>
        <w:gridCol w:w="1378"/>
        <w:gridCol w:w="1378"/>
        <w:gridCol w:w="1378"/>
      </w:tblGrid>
      <w:tr>
        <w:tc>
          <w:tcPr>
            <w:tcW w:type="dxa" w:w="2880"/>
            <w:shd w:val="clear" w:color="auto" w:fill="0B3D91"/>
          </w:tcPr>
          <w:p>
            <w:r/>
            <w:r>
              <w:rPr>
                <w:b/>
                <w:color w:val="FFFFFF"/>
                <w:sz w:val="17"/>
              </w:rPr>
              <w:t>Project / Operational Activity</w:t>
            </w:r>
          </w:p>
        </w:tc>
        <w:tc>
          <w:tcPr>
            <w:tcW w:type="dxa" w:w="1008"/>
            <w:shd w:val="clear" w:color="auto" w:fill="0B3D91"/>
          </w:tcPr>
          <w:p>
            <w:r/>
            <w:r>
              <w:rPr>
                <w:b/>
                <w:color w:val="FFFFFF"/>
                <w:sz w:val="17"/>
              </w:rPr>
              <w:t>Citizen</w:t>
            </w:r>
          </w:p>
        </w:tc>
        <w:tc>
          <w:tcPr>
            <w:tcW w:type="dxa" w:w="1008"/>
            <w:shd w:val="clear" w:color="auto" w:fill="0B3D91"/>
          </w:tcPr>
          <w:p>
            <w:r/>
            <w:r>
              <w:rPr>
                <w:b/>
                <w:color w:val="FFFFFF"/>
                <w:sz w:val="17"/>
              </w:rPr>
              <w:t>Dealing Staff</w:t>
            </w:r>
          </w:p>
        </w:tc>
        <w:tc>
          <w:tcPr>
            <w:tcW w:type="dxa" w:w="1008"/>
            <w:shd w:val="clear" w:color="auto" w:fill="0B3D91"/>
          </w:tcPr>
          <w:p>
            <w:r/>
            <w:r>
              <w:rPr>
                <w:b/>
                <w:color w:val="FFFFFF"/>
                <w:sz w:val="17"/>
              </w:rPr>
              <w:t>Supply Officer</w:t>
            </w:r>
          </w:p>
        </w:tc>
        <w:tc>
          <w:tcPr>
            <w:tcW w:type="dxa" w:w="1296"/>
            <w:shd w:val="clear" w:color="auto" w:fill="0B3D91"/>
          </w:tcPr>
          <w:p>
            <w:r/>
            <w:r>
              <w:rPr>
                <w:b/>
                <w:color w:val="FFFFFF"/>
                <w:sz w:val="17"/>
              </w:rPr>
              <w:t>District Supply Officer</w:t>
            </w:r>
          </w:p>
        </w:tc>
        <w:tc>
          <w:tcPr>
            <w:tcW w:type="dxa" w:w="1008"/>
            <w:shd w:val="clear" w:color="auto" w:fill="0B3D91"/>
          </w:tcPr>
          <w:p>
            <w:r/>
            <w:r>
              <w:rPr>
                <w:b/>
                <w:color w:val="FFFFFF"/>
                <w:sz w:val="17"/>
              </w:rPr>
              <w:t>State Dept</w:t>
            </w:r>
          </w:p>
        </w:tc>
        <w:tc>
          <w:tcPr>
            <w:tcW w:type="dxa" w:w="1008"/>
            <w:shd w:val="clear" w:color="auto" w:fill="0B3D91"/>
          </w:tcPr>
          <w:p>
            <w:r/>
            <w:r>
              <w:rPr>
                <w:b/>
                <w:color w:val="FFFFFF"/>
                <w:sz w:val="17"/>
              </w:rPr>
              <w:t>IT Vendor</w:t>
            </w:r>
          </w:p>
        </w:tc>
      </w:tr>
      <w:tr>
        <w:tc>
          <w:tcPr>
            <w:tcW w:type="dxa" w:w="2880"/>
          </w:tcPr>
          <w:p>
            <w:r/>
            <w:r>
              <w:rPr>
                <w:sz w:val="17"/>
              </w:rPr>
              <w:t>Requirements Sign-Off &amp; Baseline</w:t>
            </w:r>
          </w:p>
        </w:tc>
        <w:tc>
          <w:tcPr>
            <w:tcW w:type="dxa" w:w="1008"/>
          </w:tcPr>
          <w:p>
            <w:r/>
            <w:r>
              <w:rPr>
                <w:sz w:val="17"/>
              </w:rPr>
              <w:t>C</w:t>
            </w:r>
          </w:p>
        </w:tc>
        <w:tc>
          <w:tcPr>
            <w:tcW w:type="dxa" w:w="1008"/>
          </w:tcPr>
          <w:p>
            <w:r/>
            <w:r>
              <w:rPr>
                <w:sz w:val="17"/>
              </w:rPr>
              <w:t>C</w:t>
            </w:r>
          </w:p>
        </w:tc>
        <w:tc>
          <w:tcPr>
            <w:tcW w:type="dxa" w:w="1008"/>
          </w:tcPr>
          <w:p>
            <w:r/>
            <w:r>
              <w:rPr>
                <w:sz w:val="17"/>
              </w:rPr>
              <w:t>C</w:t>
            </w:r>
          </w:p>
        </w:tc>
        <w:tc>
          <w:tcPr>
            <w:tcW w:type="dxa" w:w="1296"/>
          </w:tcPr>
          <w:p>
            <w:r/>
            <w:r>
              <w:rPr>
                <w:sz w:val="17"/>
              </w:rPr>
              <w:t>A</w:t>
            </w:r>
          </w:p>
        </w:tc>
        <w:tc>
          <w:tcPr>
            <w:tcW w:type="dxa" w:w="1008"/>
          </w:tcPr>
          <w:p>
            <w:r/>
            <w:r>
              <w:rPr>
                <w:sz w:val="17"/>
              </w:rPr>
              <w:t>C</w:t>
            </w:r>
          </w:p>
        </w:tc>
        <w:tc>
          <w:tcPr>
            <w:tcW w:type="dxa" w:w="1008"/>
          </w:tcPr>
          <w:p>
            <w:r/>
            <w:r>
              <w:rPr>
                <w:sz w:val="17"/>
              </w:rPr>
              <w:t>R</w:t>
            </w:r>
          </w:p>
        </w:tc>
      </w:tr>
      <w:tr>
        <w:tc>
          <w:tcPr>
            <w:tcW w:type="dxa" w:w="2880"/>
          </w:tcPr>
          <w:p>
            <w:r/>
            <w:r>
              <w:rPr>
                <w:sz w:val="17"/>
              </w:rPr>
              <w:t>Eligibility Rule Definition &amp; GOs</w:t>
            </w:r>
          </w:p>
        </w:tc>
        <w:tc>
          <w:tcPr>
            <w:tcW w:type="dxa" w:w="1008"/>
          </w:tcPr>
          <w:p>
            <w:r/>
            <w:r>
              <w:rPr>
                <w:sz w:val="17"/>
              </w:rPr>
              <w:t>I</w:t>
            </w:r>
          </w:p>
        </w:tc>
        <w:tc>
          <w:tcPr>
            <w:tcW w:type="dxa" w:w="1008"/>
          </w:tcPr>
          <w:p>
            <w:r/>
            <w:r>
              <w:rPr>
                <w:sz w:val="17"/>
              </w:rPr>
              <w:t>I</w:t>
            </w:r>
          </w:p>
        </w:tc>
        <w:tc>
          <w:tcPr>
            <w:tcW w:type="dxa" w:w="1008"/>
          </w:tcPr>
          <w:p>
            <w:r/>
            <w:r>
              <w:rPr>
                <w:sz w:val="17"/>
              </w:rPr>
              <w:t>C</w:t>
            </w:r>
          </w:p>
        </w:tc>
        <w:tc>
          <w:tcPr>
            <w:tcW w:type="dxa" w:w="1296"/>
          </w:tcPr>
          <w:p>
            <w:r/>
            <w:r>
              <w:rPr>
                <w:sz w:val="17"/>
              </w:rPr>
              <w:t>C</w:t>
            </w:r>
          </w:p>
        </w:tc>
        <w:tc>
          <w:tcPr>
            <w:tcW w:type="dxa" w:w="1008"/>
          </w:tcPr>
          <w:p>
            <w:r/>
            <w:r>
              <w:rPr>
                <w:sz w:val="17"/>
              </w:rPr>
              <w:t>A</w:t>
            </w:r>
          </w:p>
        </w:tc>
        <w:tc>
          <w:tcPr>
            <w:tcW w:type="dxa" w:w="1008"/>
          </w:tcPr>
          <w:p>
            <w:r/>
            <w:r>
              <w:rPr>
                <w:sz w:val="17"/>
              </w:rPr>
              <w:t>R</w:t>
            </w:r>
          </w:p>
        </w:tc>
      </w:tr>
      <w:tr>
        <w:tc>
          <w:tcPr>
            <w:tcW w:type="dxa" w:w="2880"/>
          </w:tcPr>
          <w:p>
            <w:r/>
            <w:r>
              <w:rPr>
                <w:sz w:val="17"/>
              </w:rPr>
              <w:t>Application &amp; Document Intake</w:t>
            </w:r>
          </w:p>
        </w:tc>
        <w:tc>
          <w:tcPr>
            <w:tcW w:type="dxa" w:w="1008"/>
          </w:tcPr>
          <w:p>
            <w:r/>
            <w:r>
              <w:rPr>
                <w:sz w:val="17"/>
              </w:rPr>
              <w:t>R</w:t>
            </w:r>
          </w:p>
        </w:tc>
        <w:tc>
          <w:tcPr>
            <w:tcW w:type="dxa" w:w="1008"/>
          </w:tcPr>
          <w:p>
            <w:r/>
            <w:r>
              <w:rPr>
                <w:sz w:val="17"/>
              </w:rPr>
              <w:t>I</w:t>
            </w:r>
          </w:p>
        </w:tc>
        <w:tc>
          <w:tcPr>
            <w:tcW w:type="dxa" w:w="1008"/>
          </w:tcPr>
          <w:p>
            <w:r/>
            <w:r>
              <w:rPr>
                <w:sz w:val="17"/>
              </w:rPr>
              <w:t>I</w:t>
            </w:r>
          </w:p>
        </w:tc>
        <w:tc>
          <w:tcPr>
            <w:tcW w:type="dxa" w:w="1296"/>
          </w:tcPr>
          <w:p>
            <w:r/>
            <w:r>
              <w:rPr>
                <w:sz w:val="17"/>
              </w:rPr>
              <w:t>A</w:t>
            </w:r>
          </w:p>
        </w:tc>
        <w:tc>
          <w:tcPr>
            <w:tcW w:type="dxa" w:w="1008"/>
          </w:tcPr>
          <w:p>
            <w:r/>
            <w:r>
              <w:rPr>
                <w:sz w:val="17"/>
              </w:rPr>
              <w:t>I</w:t>
            </w:r>
          </w:p>
        </w:tc>
        <w:tc>
          <w:tcPr>
            <w:tcW w:type="dxa" w:w="1008"/>
          </w:tcPr>
          <w:p>
            <w:r/>
            <w:r>
              <w:rPr>
                <w:sz w:val="17"/>
              </w:rPr>
              <w:t>A</w:t>
            </w:r>
          </w:p>
        </w:tc>
      </w:tr>
      <w:tr>
        <w:tc>
          <w:tcPr>
            <w:tcW w:type="dxa" w:w="2880"/>
          </w:tcPr>
          <w:p>
            <w:r/>
            <w:r>
              <w:rPr>
                <w:sz w:val="17"/>
              </w:rPr>
              <w:t>Automated Eligibility Evaluation</w:t>
            </w:r>
          </w:p>
        </w:tc>
        <w:tc>
          <w:tcPr>
            <w:tcW w:type="dxa" w:w="1008"/>
          </w:tcPr>
          <w:p>
            <w:r/>
            <w:r>
              <w:rPr>
                <w:sz w:val="17"/>
              </w:rPr>
              <w:t>I</w:t>
            </w:r>
          </w:p>
        </w:tc>
        <w:tc>
          <w:tcPr>
            <w:tcW w:type="dxa" w:w="1008"/>
          </w:tcPr>
          <w:p>
            <w:r/>
            <w:r>
              <w:rPr>
                <w:sz w:val="17"/>
              </w:rPr>
              <w:t>I</w:t>
            </w:r>
          </w:p>
        </w:tc>
        <w:tc>
          <w:tcPr>
            <w:tcW w:type="dxa" w:w="1008"/>
          </w:tcPr>
          <w:p>
            <w:r/>
            <w:r>
              <w:rPr>
                <w:sz w:val="17"/>
              </w:rPr>
              <w:t>I</w:t>
            </w:r>
          </w:p>
        </w:tc>
        <w:tc>
          <w:tcPr>
            <w:tcW w:type="dxa" w:w="1296"/>
          </w:tcPr>
          <w:p>
            <w:r/>
            <w:r>
              <w:rPr>
                <w:sz w:val="17"/>
              </w:rPr>
              <w:t>A</w:t>
            </w:r>
          </w:p>
        </w:tc>
        <w:tc>
          <w:tcPr>
            <w:tcW w:type="dxa" w:w="1008"/>
          </w:tcPr>
          <w:p>
            <w:r/>
            <w:r>
              <w:rPr>
                <w:sz w:val="17"/>
              </w:rPr>
              <w:t>I</w:t>
            </w:r>
          </w:p>
        </w:tc>
        <w:tc>
          <w:tcPr>
            <w:tcW w:type="dxa" w:w="1008"/>
          </w:tcPr>
          <w:p>
            <w:r/>
            <w:r>
              <w:rPr>
                <w:sz w:val="17"/>
              </w:rPr>
              <w:t>R</w:t>
            </w:r>
          </w:p>
        </w:tc>
      </w:tr>
      <w:tr>
        <w:tc>
          <w:tcPr>
            <w:tcW w:type="dxa" w:w="2880"/>
          </w:tcPr>
          <w:p>
            <w:r/>
            <w:r>
              <w:rPr>
                <w:sz w:val="17"/>
              </w:rPr>
              <w:t>Document Verification &amp; Adjudication</w:t>
            </w:r>
          </w:p>
        </w:tc>
        <w:tc>
          <w:tcPr>
            <w:tcW w:type="dxa" w:w="1008"/>
          </w:tcPr>
          <w:p>
            <w:r/>
            <w:r>
              <w:rPr>
                <w:sz w:val="17"/>
              </w:rPr>
              <w:t>I</w:t>
            </w:r>
          </w:p>
        </w:tc>
        <w:tc>
          <w:tcPr>
            <w:tcW w:type="dxa" w:w="1008"/>
          </w:tcPr>
          <w:p>
            <w:r/>
            <w:r>
              <w:rPr>
                <w:sz w:val="17"/>
              </w:rPr>
              <w:t>R</w:t>
            </w:r>
          </w:p>
        </w:tc>
        <w:tc>
          <w:tcPr>
            <w:tcW w:type="dxa" w:w="1008"/>
          </w:tcPr>
          <w:p>
            <w:r/>
            <w:r>
              <w:rPr>
                <w:sz w:val="17"/>
              </w:rPr>
              <w:t>A</w:t>
            </w:r>
          </w:p>
        </w:tc>
        <w:tc>
          <w:tcPr>
            <w:tcW w:type="dxa" w:w="1296"/>
          </w:tcPr>
          <w:p>
            <w:r/>
            <w:r>
              <w:rPr>
                <w:sz w:val="17"/>
              </w:rPr>
              <w:t>A</w:t>
            </w:r>
          </w:p>
        </w:tc>
        <w:tc>
          <w:tcPr>
            <w:tcW w:type="dxa" w:w="1008"/>
          </w:tcPr>
          <w:p>
            <w:r/>
            <w:r>
              <w:rPr>
                <w:sz w:val="17"/>
              </w:rPr>
              <w:t>I</w:t>
            </w:r>
          </w:p>
        </w:tc>
        <w:tc>
          <w:tcPr>
            <w:tcW w:type="dxa" w:w="1008"/>
          </w:tcPr>
          <w:p>
            <w:r/>
            <w:r>
              <w:rPr>
                <w:sz w:val="17"/>
              </w:rPr>
              <w:t>I</w:t>
            </w:r>
          </w:p>
        </w:tc>
      </w:tr>
      <w:tr>
        <w:tc>
          <w:tcPr>
            <w:tcW w:type="dxa" w:w="2880"/>
          </w:tcPr>
          <w:p>
            <w:r/>
            <w:r>
              <w:rPr>
                <w:sz w:val="17"/>
              </w:rPr>
              <w:t>Policy &amp; Rule Change Administration</w:t>
            </w:r>
          </w:p>
        </w:tc>
        <w:tc>
          <w:tcPr>
            <w:tcW w:type="dxa" w:w="1008"/>
          </w:tcPr>
          <w:p>
            <w:r/>
            <w:r>
              <w:rPr>
                <w:sz w:val="17"/>
              </w:rPr>
              <w:t>I</w:t>
            </w:r>
          </w:p>
        </w:tc>
        <w:tc>
          <w:tcPr>
            <w:tcW w:type="dxa" w:w="1008"/>
          </w:tcPr>
          <w:p>
            <w:r/>
            <w:r>
              <w:rPr>
                <w:sz w:val="17"/>
              </w:rPr>
              <w:t>I</w:t>
            </w:r>
          </w:p>
        </w:tc>
        <w:tc>
          <w:tcPr>
            <w:tcW w:type="dxa" w:w="1008"/>
          </w:tcPr>
          <w:p>
            <w:r/>
            <w:r>
              <w:rPr>
                <w:sz w:val="17"/>
              </w:rPr>
              <w:t>C</w:t>
            </w:r>
          </w:p>
        </w:tc>
        <w:tc>
          <w:tcPr>
            <w:tcW w:type="dxa" w:w="1296"/>
          </w:tcPr>
          <w:p>
            <w:r/>
            <w:r>
              <w:rPr>
                <w:sz w:val="17"/>
              </w:rPr>
              <w:t>A</w:t>
            </w:r>
          </w:p>
        </w:tc>
        <w:tc>
          <w:tcPr>
            <w:tcW w:type="dxa" w:w="1008"/>
          </w:tcPr>
          <w:p>
            <w:r/>
            <w:r>
              <w:rPr>
                <w:sz w:val="17"/>
              </w:rPr>
              <w:t>C</w:t>
            </w:r>
          </w:p>
        </w:tc>
        <w:tc>
          <w:tcPr>
            <w:tcW w:type="dxa" w:w="1008"/>
          </w:tcPr>
          <w:p>
            <w:r/>
            <w:r>
              <w:rPr>
                <w:sz w:val="17"/>
              </w:rPr>
              <w:t>R</w:t>
            </w:r>
          </w:p>
        </w:tc>
      </w:tr>
      <w:tr>
        <w:tc>
          <w:tcPr>
            <w:tcW w:type="dxa" w:w="2880"/>
          </w:tcPr>
          <w:p>
            <w:r/>
            <w:r>
              <w:rPr>
                <w:sz w:val="17"/>
              </w:rPr>
              <w:t>UAT &amp; Operational Sign-Off</w:t>
            </w:r>
          </w:p>
        </w:tc>
        <w:tc>
          <w:tcPr>
            <w:tcW w:type="dxa" w:w="1008"/>
          </w:tcPr>
          <w:p>
            <w:r/>
            <w:r>
              <w:rPr>
                <w:sz w:val="17"/>
              </w:rPr>
              <w:t>C</w:t>
            </w:r>
          </w:p>
        </w:tc>
        <w:tc>
          <w:tcPr>
            <w:tcW w:type="dxa" w:w="1008"/>
          </w:tcPr>
          <w:p>
            <w:r/>
            <w:r>
              <w:rPr>
                <w:sz w:val="17"/>
              </w:rPr>
              <w:t>R</w:t>
            </w:r>
          </w:p>
        </w:tc>
        <w:tc>
          <w:tcPr>
            <w:tcW w:type="dxa" w:w="1008"/>
          </w:tcPr>
          <w:p>
            <w:r/>
            <w:r>
              <w:rPr>
                <w:sz w:val="17"/>
              </w:rPr>
              <w:t>R</w:t>
            </w:r>
          </w:p>
        </w:tc>
        <w:tc>
          <w:tcPr>
            <w:tcW w:type="dxa" w:w="1296"/>
          </w:tcPr>
          <w:p>
            <w:r/>
            <w:r>
              <w:rPr>
                <w:sz w:val="17"/>
              </w:rPr>
              <w:t>A</w:t>
            </w:r>
          </w:p>
        </w:tc>
        <w:tc>
          <w:tcPr>
            <w:tcW w:type="dxa" w:w="1008"/>
          </w:tcPr>
          <w:p>
            <w:r/>
            <w:r>
              <w:rPr>
                <w:sz w:val="17"/>
              </w:rPr>
              <w:t>I</w:t>
            </w:r>
          </w:p>
        </w:tc>
        <w:tc>
          <w:tcPr>
            <w:tcW w:type="dxa" w:w="1008"/>
          </w:tcPr>
          <w:p>
            <w:r/>
            <w:r>
              <w:rPr>
                <w:sz w:val="17"/>
              </w:rPr>
              <w:t>R</w:t>
            </w:r>
          </w:p>
        </w:tc>
      </w:tr>
    </w:tbl>
    <w:p>
      <w:pPr>
        <w:spacing w:after="40"/>
      </w:pPr>
    </w:p>
    <w:p>
      <w:pPr>
        <w:pStyle w:val="Heading1"/>
      </w:pPr>
      <w:r>
        <w:rPr>
          <w:color w:val="0B3D91"/>
        </w:rPr>
        <w:t>6. High-Level Business Requirements (BR-01 to BR-10)</w:t>
      </w:r>
    </w:p>
    <w:tbl>
      <w:tblPr>
        <w:tblStyle w:val="TableGrid"/>
        <w:tblW w:type="auto" w:w="0"/>
        <w:jc w:val="center"/>
        <w:tblLook w:firstColumn="1" w:firstRow="1" w:lastColumn="0" w:lastRow="0" w:noHBand="0" w:noVBand="1" w:val="04A0"/>
      </w:tblPr>
      <w:tblGrid>
        <w:gridCol w:w="1930"/>
        <w:gridCol w:w="1930"/>
        <w:gridCol w:w="1930"/>
        <w:gridCol w:w="1930"/>
        <w:gridCol w:w="1930"/>
      </w:tblGrid>
      <w:tr>
        <w:tc>
          <w:tcPr>
            <w:tcW w:type="dxa" w:w="864"/>
            <w:shd w:val="clear" w:color="auto" w:fill="0B3D91"/>
          </w:tcPr>
          <w:p>
            <w:r/>
            <w:r>
              <w:rPr>
                <w:b/>
                <w:color w:val="FFFFFF"/>
                <w:sz w:val="16"/>
              </w:rPr>
              <w:t>ID</w:t>
            </w:r>
          </w:p>
        </w:tc>
        <w:tc>
          <w:tcPr>
            <w:tcW w:type="dxa" w:w="2880"/>
            <w:shd w:val="clear" w:color="auto" w:fill="0B3D91"/>
          </w:tcPr>
          <w:p>
            <w:r/>
            <w:r>
              <w:rPr>
                <w:b/>
                <w:color w:val="FFFFFF"/>
                <w:sz w:val="16"/>
              </w:rPr>
              <w:t>Business Requirement</w:t>
            </w:r>
          </w:p>
        </w:tc>
        <w:tc>
          <w:tcPr>
            <w:tcW w:type="dxa" w:w="3168"/>
            <w:shd w:val="clear" w:color="auto" w:fill="0B3D91"/>
          </w:tcPr>
          <w:p>
            <w:r/>
            <w:r>
              <w:rPr>
                <w:b/>
                <w:color w:val="FFFFFF"/>
                <w:sz w:val="16"/>
              </w:rPr>
              <w:t>Operational Justification</w:t>
            </w:r>
          </w:p>
        </w:tc>
        <w:tc>
          <w:tcPr>
            <w:tcW w:type="dxa" w:w="864"/>
            <w:shd w:val="clear" w:color="auto" w:fill="0B3D91"/>
          </w:tcPr>
          <w:p>
            <w:r/>
            <w:r>
              <w:rPr>
                <w:b/>
                <w:color w:val="FFFFFF"/>
                <w:sz w:val="16"/>
              </w:rPr>
              <w:t>MoSCoW</w:t>
            </w:r>
          </w:p>
        </w:tc>
        <w:tc>
          <w:tcPr>
            <w:tcW w:type="dxa" w:w="1440"/>
            <w:shd w:val="clear" w:color="auto" w:fill="0B3D91"/>
          </w:tcPr>
          <w:p>
            <w:r/>
            <w:r>
              <w:rPr>
                <w:b/>
                <w:color w:val="FFFFFF"/>
                <w:sz w:val="16"/>
              </w:rPr>
              <w:t>Traceability</w:t>
            </w:r>
          </w:p>
        </w:tc>
      </w:tr>
      <w:tr>
        <w:tc>
          <w:tcPr>
            <w:tcW w:type="dxa" w:w="864"/>
          </w:tcPr>
          <w:p>
            <w:r/>
            <w:r>
              <w:rPr>
                <w:sz w:val="16"/>
              </w:rPr>
              <w:t>BR-01</w:t>
            </w:r>
          </w:p>
        </w:tc>
        <w:tc>
          <w:tcPr>
            <w:tcW w:type="dxa" w:w="2880"/>
          </w:tcPr>
          <w:p>
            <w:r/>
            <w:r>
              <w:rPr>
                <w:sz w:val="16"/>
              </w:rPr>
              <w:t>Citizen Self-Service Intake for 5 Request Types</w:t>
            </w:r>
          </w:p>
        </w:tc>
        <w:tc>
          <w:tcPr>
            <w:tcW w:type="dxa" w:w="3168"/>
          </w:tcPr>
          <w:p>
            <w:r/>
            <w:r>
              <w:rPr>
                <w:sz w:val="16"/>
              </w:rPr>
              <w:t>Eliminates counter queues and handwritten illegibility</w:t>
            </w:r>
          </w:p>
        </w:tc>
        <w:tc>
          <w:tcPr>
            <w:tcW w:type="dxa" w:w="864"/>
          </w:tcPr>
          <w:p>
            <w:r/>
            <w:r>
              <w:rPr>
                <w:sz w:val="16"/>
              </w:rPr>
              <w:t>Must</w:t>
            </w:r>
          </w:p>
        </w:tc>
        <w:tc>
          <w:tcPr>
            <w:tcW w:type="dxa" w:w="1440"/>
          </w:tcPr>
          <w:p>
            <w:r/>
            <w:r>
              <w:rPr>
                <w:sz w:val="16"/>
              </w:rPr>
              <w:t>FR-02, UC2</w:t>
            </w:r>
          </w:p>
        </w:tc>
      </w:tr>
      <w:tr>
        <w:tc>
          <w:tcPr>
            <w:tcW w:type="dxa" w:w="864"/>
          </w:tcPr>
          <w:p>
            <w:r/>
            <w:r>
              <w:rPr>
                <w:sz w:val="16"/>
              </w:rPr>
              <w:t>BR-02</w:t>
            </w:r>
          </w:p>
        </w:tc>
        <w:tc>
          <w:tcPr>
            <w:tcW w:type="dxa" w:w="2880"/>
          </w:tcPr>
          <w:p>
            <w:r/>
            <w:r>
              <w:rPr>
                <w:sz w:val="16"/>
              </w:rPr>
              <w:t>Digital Document Upload (PDF/JPG &lt;= 2 MB)</w:t>
            </w:r>
          </w:p>
        </w:tc>
        <w:tc>
          <w:tcPr>
            <w:tcW w:type="dxa" w:w="3168"/>
          </w:tcPr>
          <w:p>
            <w:r/>
            <w:r>
              <w:rPr>
                <w:sz w:val="16"/>
              </w:rPr>
              <w:t>Prevents paper loss; enforces legible evidence</w:t>
            </w:r>
          </w:p>
        </w:tc>
        <w:tc>
          <w:tcPr>
            <w:tcW w:type="dxa" w:w="864"/>
          </w:tcPr>
          <w:p>
            <w:r/>
            <w:r>
              <w:rPr>
                <w:sz w:val="16"/>
              </w:rPr>
              <w:t>Must</w:t>
            </w:r>
          </w:p>
        </w:tc>
        <w:tc>
          <w:tcPr>
            <w:tcW w:type="dxa" w:w="1440"/>
          </w:tcPr>
          <w:p>
            <w:r/>
            <w:r>
              <w:rPr>
                <w:sz w:val="16"/>
              </w:rPr>
              <w:t>FR-03, UC3</w:t>
            </w:r>
          </w:p>
        </w:tc>
      </w:tr>
      <w:tr>
        <w:tc>
          <w:tcPr>
            <w:tcW w:type="dxa" w:w="864"/>
          </w:tcPr>
          <w:p>
            <w:r/>
            <w:r>
              <w:rPr>
                <w:sz w:val="16"/>
              </w:rPr>
              <w:t>BR-03</w:t>
            </w:r>
          </w:p>
        </w:tc>
        <w:tc>
          <w:tcPr>
            <w:tcW w:type="dxa" w:w="2880"/>
          </w:tcPr>
          <w:p>
            <w:r/>
            <w:r>
              <w:rPr>
                <w:sz w:val="16"/>
              </w:rPr>
              <w:t>Pre-Submission Rule Engine Validation</w:t>
            </w:r>
          </w:p>
        </w:tc>
        <w:tc>
          <w:tcPr>
            <w:tcW w:type="dxa" w:w="3168"/>
          </w:tcPr>
          <w:p>
            <w:r/>
            <w:r>
              <w:rPr>
                <w:sz w:val="16"/>
              </w:rPr>
              <w:t>Stops ineligible requests instantly, saving officer hours</w:t>
            </w:r>
          </w:p>
        </w:tc>
        <w:tc>
          <w:tcPr>
            <w:tcW w:type="dxa" w:w="864"/>
          </w:tcPr>
          <w:p>
            <w:r/>
            <w:r>
              <w:rPr>
                <w:sz w:val="16"/>
              </w:rPr>
              <w:t>Must</w:t>
            </w:r>
          </w:p>
        </w:tc>
        <w:tc>
          <w:tcPr>
            <w:tcW w:type="dxa" w:w="1440"/>
          </w:tcPr>
          <w:p>
            <w:r/>
            <w:r>
              <w:rPr>
                <w:sz w:val="16"/>
              </w:rPr>
              <w:t>FR-04, UC10</w:t>
            </w:r>
          </w:p>
        </w:tc>
      </w:tr>
      <w:tr>
        <w:tc>
          <w:tcPr>
            <w:tcW w:type="dxa" w:w="864"/>
          </w:tcPr>
          <w:p>
            <w:r/>
            <w:r>
              <w:rPr>
                <w:sz w:val="16"/>
              </w:rPr>
              <w:t>BR-04</w:t>
            </w:r>
          </w:p>
        </w:tc>
        <w:tc>
          <w:tcPr>
            <w:tcW w:type="dxa" w:w="2880"/>
          </w:tcPr>
          <w:p>
            <w:r/>
            <w:r>
              <w:rPr>
                <w:sz w:val="16"/>
              </w:rPr>
              <w:t>Unique Tracking ID &amp; Instant Acknowledgment</w:t>
            </w:r>
          </w:p>
        </w:tc>
        <w:tc>
          <w:tcPr>
            <w:tcW w:type="dxa" w:w="3168"/>
          </w:tcPr>
          <w:p>
            <w:r/>
            <w:r>
              <w:rPr>
                <w:sz w:val="16"/>
              </w:rPr>
              <w:t>Gives applicant proof of submission; enables tracking</w:t>
            </w:r>
          </w:p>
        </w:tc>
        <w:tc>
          <w:tcPr>
            <w:tcW w:type="dxa" w:w="864"/>
          </w:tcPr>
          <w:p>
            <w:r/>
            <w:r>
              <w:rPr>
                <w:sz w:val="16"/>
              </w:rPr>
              <w:t>Must</w:t>
            </w:r>
          </w:p>
        </w:tc>
        <w:tc>
          <w:tcPr>
            <w:tcW w:type="dxa" w:w="1440"/>
          </w:tcPr>
          <w:p>
            <w:r/>
            <w:r>
              <w:rPr>
                <w:sz w:val="16"/>
              </w:rPr>
              <w:t>FR-05, UC2</w:t>
            </w:r>
          </w:p>
        </w:tc>
      </w:tr>
      <w:tr>
        <w:tc>
          <w:tcPr>
            <w:tcW w:type="dxa" w:w="864"/>
          </w:tcPr>
          <w:p>
            <w:r/>
            <w:r>
              <w:rPr>
                <w:sz w:val="16"/>
              </w:rPr>
              <w:t>BR-05</w:t>
            </w:r>
          </w:p>
        </w:tc>
        <w:tc>
          <w:tcPr>
            <w:tcW w:type="dxa" w:w="2880"/>
          </w:tcPr>
          <w:p>
            <w:r/>
            <w:r>
              <w:rPr>
                <w:sz w:val="16"/>
              </w:rPr>
              <w:t>Online Status Timeline by Request ID</w:t>
            </w:r>
          </w:p>
        </w:tc>
        <w:tc>
          <w:tcPr>
            <w:tcW w:type="dxa" w:w="3168"/>
          </w:tcPr>
          <w:p>
            <w:r/>
            <w:r>
              <w:rPr>
                <w:sz w:val="16"/>
              </w:rPr>
              <w:t>Eliminates enquiry visits to the supply office</w:t>
            </w:r>
          </w:p>
        </w:tc>
        <w:tc>
          <w:tcPr>
            <w:tcW w:type="dxa" w:w="864"/>
          </w:tcPr>
          <w:p>
            <w:r/>
            <w:r>
              <w:rPr>
                <w:sz w:val="16"/>
              </w:rPr>
              <w:t>Must</w:t>
            </w:r>
          </w:p>
        </w:tc>
        <w:tc>
          <w:tcPr>
            <w:tcW w:type="dxa" w:w="1440"/>
          </w:tcPr>
          <w:p>
            <w:r/>
            <w:r>
              <w:rPr>
                <w:sz w:val="16"/>
              </w:rPr>
              <w:t>FR-06, UC4</w:t>
            </w:r>
          </w:p>
        </w:tc>
      </w:tr>
      <w:tr>
        <w:tc>
          <w:tcPr>
            <w:tcW w:type="dxa" w:w="864"/>
          </w:tcPr>
          <w:p>
            <w:r/>
            <w:r>
              <w:rPr>
                <w:sz w:val="16"/>
              </w:rPr>
              <w:t>BR-06</w:t>
            </w:r>
          </w:p>
        </w:tc>
        <w:tc>
          <w:tcPr>
            <w:tcW w:type="dxa" w:w="2880"/>
          </w:tcPr>
          <w:p>
            <w:r/>
            <w:r>
              <w:rPr>
                <w:sz w:val="16"/>
              </w:rPr>
              <w:t>Oldest-First Queue &amp; SLA Breach Indicators</w:t>
            </w:r>
          </w:p>
        </w:tc>
        <w:tc>
          <w:tcPr>
            <w:tcW w:type="dxa" w:w="3168"/>
          </w:tcPr>
          <w:p>
            <w:r/>
            <w:r>
              <w:rPr>
                <w:sz w:val="16"/>
              </w:rPr>
              <w:t>Guarantees fair processing and identifies delayed files</w:t>
            </w:r>
          </w:p>
        </w:tc>
        <w:tc>
          <w:tcPr>
            <w:tcW w:type="dxa" w:w="864"/>
          </w:tcPr>
          <w:p>
            <w:r/>
            <w:r>
              <w:rPr>
                <w:sz w:val="16"/>
              </w:rPr>
              <w:t>Must</w:t>
            </w:r>
          </w:p>
        </w:tc>
        <w:tc>
          <w:tcPr>
            <w:tcW w:type="dxa" w:w="1440"/>
          </w:tcPr>
          <w:p>
            <w:r/>
            <w:r>
              <w:rPr>
                <w:sz w:val="16"/>
              </w:rPr>
              <w:t>FR-07, UC5</w:t>
            </w:r>
          </w:p>
        </w:tc>
      </w:tr>
      <w:tr>
        <w:tc>
          <w:tcPr>
            <w:tcW w:type="dxa" w:w="864"/>
          </w:tcPr>
          <w:p>
            <w:r/>
            <w:r>
              <w:rPr>
                <w:sz w:val="16"/>
              </w:rPr>
              <w:t>BR-07</w:t>
            </w:r>
          </w:p>
        </w:tc>
        <w:tc>
          <w:tcPr>
            <w:tcW w:type="dxa" w:w="2880"/>
          </w:tcPr>
          <w:p>
            <w:r/>
            <w:r>
              <w:rPr>
                <w:sz w:val="16"/>
              </w:rPr>
              <w:t>Adjudication with Mandatory Remarks on Rejection</w:t>
            </w:r>
          </w:p>
        </w:tc>
        <w:tc>
          <w:tcPr>
            <w:tcW w:type="dxa" w:w="3168"/>
          </w:tcPr>
          <w:p>
            <w:r/>
            <w:r>
              <w:rPr>
                <w:sz w:val="16"/>
              </w:rPr>
              <w:t>Ensures administrative natural justice and clarity</w:t>
            </w:r>
          </w:p>
        </w:tc>
        <w:tc>
          <w:tcPr>
            <w:tcW w:type="dxa" w:w="864"/>
          </w:tcPr>
          <w:p>
            <w:r/>
            <w:r>
              <w:rPr>
                <w:sz w:val="16"/>
              </w:rPr>
              <w:t>Must</w:t>
            </w:r>
          </w:p>
        </w:tc>
        <w:tc>
          <w:tcPr>
            <w:tcW w:type="dxa" w:w="1440"/>
          </w:tcPr>
          <w:p>
            <w:r/>
            <w:r>
              <w:rPr>
                <w:sz w:val="16"/>
              </w:rPr>
              <w:t>FR-07, UC6</w:t>
            </w:r>
          </w:p>
        </w:tc>
      </w:tr>
      <w:tr>
        <w:tc>
          <w:tcPr>
            <w:tcW w:type="dxa" w:w="864"/>
          </w:tcPr>
          <w:p>
            <w:r/>
            <w:r>
              <w:rPr>
                <w:sz w:val="16"/>
              </w:rPr>
              <w:t>BR-08</w:t>
            </w:r>
          </w:p>
        </w:tc>
        <w:tc>
          <w:tcPr>
            <w:tcW w:type="dxa" w:w="2880"/>
          </w:tcPr>
          <w:p>
            <w:r/>
            <w:r>
              <w:rPr>
                <w:sz w:val="16"/>
              </w:rPr>
              <w:t>Milestone-Driven SMS Alerts to Beneficiary</w:t>
            </w:r>
          </w:p>
        </w:tc>
        <w:tc>
          <w:tcPr>
            <w:tcW w:type="dxa" w:w="3168"/>
          </w:tcPr>
          <w:p>
            <w:r/>
            <w:r>
              <w:rPr>
                <w:sz w:val="16"/>
              </w:rPr>
              <w:t>Ensures citizens without internet can track outcomes</w:t>
            </w:r>
          </w:p>
        </w:tc>
        <w:tc>
          <w:tcPr>
            <w:tcW w:type="dxa" w:w="864"/>
          </w:tcPr>
          <w:p>
            <w:r/>
            <w:r>
              <w:rPr>
                <w:sz w:val="16"/>
              </w:rPr>
              <w:t>Must</w:t>
            </w:r>
          </w:p>
        </w:tc>
        <w:tc>
          <w:tcPr>
            <w:tcW w:type="dxa" w:w="1440"/>
          </w:tcPr>
          <w:p>
            <w:r/>
            <w:r>
              <w:rPr>
                <w:sz w:val="16"/>
              </w:rPr>
              <w:t>FR-08, UC9</w:t>
            </w:r>
          </w:p>
        </w:tc>
      </w:tr>
      <w:tr>
        <w:tc>
          <w:tcPr>
            <w:tcW w:type="dxa" w:w="864"/>
          </w:tcPr>
          <w:p>
            <w:r/>
            <w:r>
              <w:rPr>
                <w:sz w:val="16"/>
              </w:rPr>
              <w:t>BR-09</w:t>
            </w:r>
          </w:p>
        </w:tc>
        <w:tc>
          <w:tcPr>
            <w:tcW w:type="dxa" w:w="2880"/>
          </w:tcPr>
          <w:p>
            <w:r/>
            <w:r>
              <w:rPr>
                <w:sz w:val="16"/>
              </w:rPr>
              <w:t>Data-Driven Rule Versioning via Admin UI</w:t>
            </w:r>
          </w:p>
        </w:tc>
        <w:tc>
          <w:tcPr>
            <w:tcW w:type="dxa" w:w="3168"/>
          </w:tcPr>
          <w:p>
            <w:r/>
            <w:r>
              <w:rPr>
                <w:sz w:val="16"/>
              </w:rPr>
              <w:t>Adapts to state rule changes without redeployment</w:t>
            </w:r>
          </w:p>
        </w:tc>
        <w:tc>
          <w:tcPr>
            <w:tcW w:type="dxa" w:w="864"/>
          </w:tcPr>
          <w:p>
            <w:r/>
            <w:r>
              <w:rPr>
                <w:sz w:val="16"/>
              </w:rPr>
              <w:t>Must</w:t>
            </w:r>
          </w:p>
        </w:tc>
        <w:tc>
          <w:tcPr>
            <w:tcW w:type="dxa" w:w="1440"/>
          </w:tcPr>
          <w:p>
            <w:r/>
            <w:r>
              <w:rPr>
                <w:sz w:val="16"/>
              </w:rPr>
              <w:t>FR-09, UC7</w:t>
            </w:r>
          </w:p>
        </w:tc>
      </w:tr>
      <w:tr>
        <w:tc>
          <w:tcPr>
            <w:tcW w:type="dxa" w:w="864"/>
          </w:tcPr>
          <w:p>
            <w:r/>
            <w:r>
              <w:rPr>
                <w:sz w:val="16"/>
              </w:rPr>
              <w:t>BR-10</w:t>
            </w:r>
          </w:p>
        </w:tc>
        <w:tc>
          <w:tcPr>
            <w:tcW w:type="dxa" w:w="2880"/>
          </w:tcPr>
          <w:p>
            <w:r/>
            <w:r>
              <w:rPr>
                <w:sz w:val="16"/>
              </w:rPr>
              <w:t>Operational MIS Reporting &amp; Disposal Metrics</w:t>
            </w:r>
          </w:p>
        </w:tc>
        <w:tc>
          <w:tcPr>
            <w:tcW w:type="dxa" w:w="3168"/>
          </w:tcPr>
          <w:p>
            <w:r/>
            <w:r>
              <w:rPr>
                <w:sz w:val="16"/>
              </w:rPr>
              <w:t>Enables DSO to hold inspection officers accountable</w:t>
            </w:r>
          </w:p>
        </w:tc>
        <w:tc>
          <w:tcPr>
            <w:tcW w:type="dxa" w:w="864"/>
          </w:tcPr>
          <w:p>
            <w:r/>
            <w:r>
              <w:rPr>
                <w:sz w:val="16"/>
              </w:rPr>
              <w:t>Should</w:t>
            </w:r>
          </w:p>
        </w:tc>
        <w:tc>
          <w:tcPr>
            <w:tcW w:type="dxa" w:w="1440"/>
          </w:tcPr>
          <w:p>
            <w:r/>
            <w:r>
              <w:rPr>
                <w:sz w:val="16"/>
              </w:rPr>
              <w:t>FR-10, UC8</w:t>
            </w:r>
          </w:p>
        </w:tc>
      </w:tr>
    </w:tbl>
    <w:p>
      <w:pPr>
        <w:spacing w:after="40"/>
      </w:pPr>
    </w:p>
    <w:p>
      <w:pPr>
        <w:pStyle w:val="Heading1"/>
      </w:pPr>
      <w:r>
        <w:rPr>
          <w:color w:val="0B3D91"/>
        </w:rPr>
        <w:t>7. Business Rules Catalog by Service Stream</w:t>
      </w:r>
    </w:p>
    <w:p>
      <w:pPr>
        <w:pStyle w:val="ListBullet"/>
        <w:spacing w:after="20"/>
      </w:pPr>
      <w:r>
        <w:rPr>
          <w:b/>
        </w:rPr>
        <w:t xml:space="preserve">New Card Rules: </w:t>
      </w:r>
      <w:r>
        <w:t>Applicant must reside in the district; no family member may possess an active Aadhaar record on another card; income &lt;= ₹1,00,000 qualifies as PHH (Priority), else NPHH (Non-priority); requires residence proof, family Aadhaar copies, and income certificate.</w:t>
      </w:r>
    </w:p>
    <w:p>
      <w:pPr>
        <w:pStyle w:val="ListBullet"/>
        <w:spacing w:after="20"/>
      </w:pPr>
      <w:r>
        <w:rPr>
          <w:b/>
        </w:rPr>
        <w:t xml:space="preserve">Add Member Rules: </w:t>
      </w:r>
      <w:r>
        <w:t>Parent ration card must be active; new member must not exist on any other card; total family size after addition cannot exceed 15 members; requires birth certificate (for child) or marriage certificate (for spouse).</w:t>
      </w:r>
    </w:p>
    <w:p>
      <w:pPr>
        <w:pStyle w:val="ListBullet"/>
        <w:spacing w:after="20"/>
      </w:pPr>
      <w:r>
        <w:rPr>
          <w:b/>
        </w:rPr>
        <w:t xml:space="preserve">Remove Member Rules: </w:t>
      </w:r>
      <w:r>
        <w:t>Parent card must be active; total family size after removal must be &gt;= 1 member (if 0, applicant must apply for card cancellation/surrender); if Head of Family is removed, a new head must be explicitly designated; requires death certificate, marriage certificate, or migration certificate.</w:t>
      </w:r>
    </w:p>
    <w:p>
      <w:pPr>
        <w:pStyle w:val="ListBullet"/>
        <w:spacing w:after="20"/>
      </w:pPr>
      <w:r>
        <w:rPr>
          <w:b/>
        </w:rPr>
        <w:t xml:space="preserve">Address Change Rules: </w:t>
      </w:r>
      <w:r>
        <w:t>Parent card must be active; new address must be within district administrative boundaries (inter-district transfers require transfer surrender cert); requires electricity bill, water bill, or registered rent agreement.</w:t>
      </w:r>
    </w:p>
    <w:p>
      <w:pPr>
        <w:pStyle w:val="ListBullet"/>
        <w:spacing w:after="20"/>
      </w:pPr>
      <w:r>
        <w:rPr>
          <w:b/>
        </w:rPr>
        <w:t xml:space="preserve">Duplicate Card Rules: </w:t>
      </w:r>
      <w:r>
        <w:t>Parent card must be active; reason must be declared (lost, stolen, damaged); applicant allowed at most 2 duplicate issuances within a rolling 12-month period; requires police report / self-declaration for loss or physical card return for damaged cards.</w:t>
      </w:r>
    </w:p>
    <w:p>
      <w:pPr>
        <w:pStyle w:val="Heading1"/>
      </w:pPr>
      <w:r>
        <w:rPr>
          <w:color w:val="0B3D91"/>
        </w:rPr>
        <w:t>8. Scope Boundaries: In-Scope vs. Out-of-Scope</w:t>
      </w:r>
    </w:p>
    <w:tbl>
      <w:tblPr>
        <w:tblStyle w:val="TableGrid"/>
        <w:tblW w:type="auto" w:w="0"/>
        <w:jc w:val="center"/>
        <w:tblLook w:firstColumn="1" w:firstRow="1" w:lastColumn="0" w:lastRow="0" w:noHBand="0" w:noVBand="1" w:val="04A0"/>
      </w:tblPr>
      <w:tblGrid>
        <w:gridCol w:w="2412"/>
        <w:gridCol w:w="2412"/>
        <w:gridCol w:w="2412"/>
        <w:gridCol w:w="2412"/>
      </w:tblGrid>
      <w:tr>
        <w:tc>
          <w:tcPr>
            <w:tcW w:type="dxa" w:w="1584"/>
            <w:shd w:val="clear" w:color="auto" w:fill="0B3D91"/>
          </w:tcPr>
          <w:p>
            <w:r/>
            <w:r>
              <w:rPr>
                <w:b/>
                <w:color w:val="FFFFFF"/>
                <w:sz w:val="16"/>
              </w:rPr>
              <w:t>Category</w:t>
            </w:r>
          </w:p>
        </w:tc>
        <w:tc>
          <w:tcPr>
            <w:tcW w:type="dxa" w:w="3312"/>
            <w:shd w:val="clear" w:color="auto" w:fill="0B3D91"/>
          </w:tcPr>
          <w:p>
            <w:r/>
            <w:r>
              <w:rPr>
                <w:b/>
                <w:color w:val="FFFFFF"/>
                <w:sz w:val="16"/>
              </w:rPr>
              <w:t>Item / Feature</w:t>
            </w:r>
          </w:p>
        </w:tc>
        <w:tc>
          <w:tcPr>
            <w:tcW w:type="dxa" w:w="864"/>
            <w:shd w:val="clear" w:color="auto" w:fill="0B3D91"/>
          </w:tcPr>
          <w:p>
            <w:r/>
            <w:r>
              <w:rPr>
                <w:b/>
                <w:color w:val="FFFFFF"/>
                <w:sz w:val="16"/>
              </w:rPr>
              <w:t>In / Out</w:t>
            </w:r>
          </w:p>
        </w:tc>
        <w:tc>
          <w:tcPr>
            <w:tcW w:type="dxa" w:w="3456"/>
            <w:shd w:val="clear" w:color="auto" w:fill="0B3D91"/>
          </w:tcPr>
          <w:p>
            <w:r/>
            <w:r>
              <w:rPr>
                <w:b/>
                <w:color w:val="FFFFFF"/>
                <w:sz w:val="16"/>
              </w:rPr>
              <w:t>Business Rationale</w:t>
            </w:r>
          </w:p>
        </w:tc>
      </w:tr>
      <w:tr>
        <w:tc>
          <w:tcPr>
            <w:tcW w:type="dxa" w:w="1584"/>
          </w:tcPr>
          <w:p>
            <w:r/>
            <w:r>
              <w:rPr>
                <w:sz w:val="16"/>
              </w:rPr>
              <w:t>Citizen Intake</w:t>
            </w:r>
          </w:p>
        </w:tc>
        <w:tc>
          <w:tcPr>
            <w:tcW w:type="dxa" w:w="3312"/>
          </w:tcPr>
          <w:p>
            <w:r/>
            <w:r>
              <w:rPr>
                <w:sz w:val="16"/>
              </w:rPr>
              <w:t>Web portal for 5 service types with OTP login</w:t>
            </w:r>
          </w:p>
        </w:tc>
        <w:tc>
          <w:tcPr>
            <w:tcW w:type="dxa" w:w="864"/>
          </w:tcPr>
          <w:p>
            <w:r/>
            <w:r>
              <w:rPr>
                <w:sz w:val="16"/>
              </w:rPr>
              <w:t>IN</w:t>
            </w:r>
          </w:p>
        </w:tc>
        <w:tc>
          <w:tcPr>
            <w:tcW w:type="dxa" w:w="3456"/>
          </w:tcPr>
          <w:p>
            <w:r/>
            <w:r>
              <w:rPr>
                <w:sz w:val="16"/>
              </w:rPr>
              <w:t>Core requirement to replace physical application desk</w:t>
            </w:r>
          </w:p>
        </w:tc>
      </w:tr>
      <w:tr>
        <w:tc>
          <w:tcPr>
            <w:tcW w:type="dxa" w:w="1584"/>
          </w:tcPr>
          <w:p>
            <w:r/>
            <w:r>
              <w:rPr>
                <w:sz w:val="16"/>
              </w:rPr>
              <w:t>Document Engine</w:t>
            </w:r>
          </w:p>
        </w:tc>
        <w:tc>
          <w:tcPr>
            <w:tcW w:type="dxa" w:w="3312"/>
          </w:tcPr>
          <w:p>
            <w:r/>
            <w:r>
              <w:rPr>
                <w:sz w:val="16"/>
              </w:rPr>
              <w:t>Multi-file upload (PDF/JPG, max 2MB) &amp; preview</w:t>
            </w:r>
          </w:p>
        </w:tc>
        <w:tc>
          <w:tcPr>
            <w:tcW w:type="dxa" w:w="864"/>
          </w:tcPr>
          <w:p>
            <w:r/>
            <w:r>
              <w:rPr>
                <w:sz w:val="16"/>
              </w:rPr>
              <w:t>IN</w:t>
            </w:r>
          </w:p>
        </w:tc>
        <w:tc>
          <w:tcPr>
            <w:tcW w:type="dxa" w:w="3456"/>
          </w:tcPr>
          <w:p>
            <w:r/>
            <w:r>
              <w:rPr>
                <w:sz w:val="16"/>
              </w:rPr>
              <w:t>Replaces physical photocopies; prevents lost papers</w:t>
            </w:r>
          </w:p>
        </w:tc>
      </w:tr>
      <w:tr>
        <w:tc>
          <w:tcPr>
            <w:tcW w:type="dxa" w:w="1584"/>
          </w:tcPr>
          <w:p>
            <w:r/>
            <w:r>
              <w:rPr>
                <w:sz w:val="16"/>
              </w:rPr>
              <w:t>Policy Engine</w:t>
            </w:r>
          </w:p>
        </w:tc>
        <w:tc>
          <w:tcPr>
            <w:tcW w:type="dxa" w:w="3312"/>
          </w:tcPr>
          <w:p>
            <w:r/>
            <w:r>
              <w:rPr>
                <w:sz w:val="16"/>
              </w:rPr>
              <w:t>Configurable eligibility rules with versioning</w:t>
            </w:r>
          </w:p>
        </w:tc>
        <w:tc>
          <w:tcPr>
            <w:tcW w:type="dxa" w:w="864"/>
          </w:tcPr>
          <w:p>
            <w:r/>
            <w:r>
              <w:rPr>
                <w:sz w:val="16"/>
              </w:rPr>
              <w:t>IN</w:t>
            </w:r>
          </w:p>
        </w:tc>
        <w:tc>
          <w:tcPr>
            <w:tcW w:type="dxa" w:w="3456"/>
          </w:tcPr>
          <w:p>
            <w:r/>
            <w:r>
              <w:rPr>
                <w:sz w:val="16"/>
              </w:rPr>
              <w:t>Essential to accommodate state rule revisions</w:t>
            </w:r>
          </w:p>
        </w:tc>
      </w:tr>
      <w:tr>
        <w:tc>
          <w:tcPr>
            <w:tcW w:type="dxa" w:w="1584"/>
          </w:tcPr>
          <w:p>
            <w:r/>
            <w:r>
              <w:rPr>
                <w:sz w:val="16"/>
              </w:rPr>
              <w:t>Adjudication</w:t>
            </w:r>
          </w:p>
        </w:tc>
        <w:tc>
          <w:tcPr>
            <w:tcW w:type="dxa" w:w="3312"/>
          </w:tcPr>
          <w:p>
            <w:r/>
            <w:r>
              <w:rPr>
                <w:sz w:val="16"/>
              </w:rPr>
              <w:t>Officer queue with FIFO, SLA alerts, Approve/Reject</w:t>
            </w:r>
          </w:p>
        </w:tc>
        <w:tc>
          <w:tcPr>
            <w:tcW w:type="dxa" w:w="864"/>
          </w:tcPr>
          <w:p>
            <w:r/>
            <w:r>
              <w:rPr>
                <w:sz w:val="16"/>
              </w:rPr>
              <w:t>IN</w:t>
            </w:r>
          </w:p>
        </w:tc>
        <w:tc>
          <w:tcPr>
            <w:tcW w:type="dxa" w:w="3456"/>
          </w:tcPr>
          <w:p>
            <w:r/>
            <w:r>
              <w:rPr>
                <w:sz w:val="16"/>
              </w:rPr>
              <w:t>Replaces manual desk routing and unlogged approvals</w:t>
            </w:r>
          </w:p>
        </w:tc>
      </w:tr>
      <w:tr>
        <w:tc>
          <w:tcPr>
            <w:tcW w:type="dxa" w:w="1584"/>
          </w:tcPr>
          <w:p>
            <w:r/>
            <w:r>
              <w:rPr>
                <w:sz w:val="16"/>
              </w:rPr>
              <w:t>Alerts</w:t>
            </w:r>
          </w:p>
        </w:tc>
        <w:tc>
          <w:tcPr>
            <w:tcW w:type="dxa" w:w="3312"/>
          </w:tcPr>
          <w:p>
            <w:r/>
            <w:r>
              <w:rPr>
                <w:sz w:val="16"/>
              </w:rPr>
              <w:t>Automated SMS on submission, return, approval, reject</w:t>
            </w:r>
          </w:p>
        </w:tc>
        <w:tc>
          <w:tcPr>
            <w:tcW w:type="dxa" w:w="864"/>
          </w:tcPr>
          <w:p>
            <w:r/>
            <w:r>
              <w:rPr>
                <w:sz w:val="16"/>
              </w:rPr>
              <w:t>IN</w:t>
            </w:r>
          </w:p>
        </w:tc>
        <w:tc>
          <w:tcPr>
            <w:tcW w:type="dxa" w:w="3456"/>
          </w:tcPr>
          <w:p>
            <w:r/>
            <w:r>
              <w:rPr>
                <w:sz w:val="16"/>
              </w:rPr>
              <w:t>Direct communication to eliminate enquiry visits</w:t>
            </w:r>
          </w:p>
        </w:tc>
      </w:tr>
      <w:tr>
        <w:tc>
          <w:tcPr>
            <w:tcW w:type="dxa" w:w="1584"/>
          </w:tcPr>
          <w:p>
            <w:r/>
            <w:r>
              <w:rPr>
                <w:sz w:val="16"/>
              </w:rPr>
              <w:t>Payment Gateway</w:t>
            </w:r>
          </w:p>
        </w:tc>
        <w:tc>
          <w:tcPr>
            <w:tcW w:type="dxa" w:w="3312"/>
          </w:tcPr>
          <w:p>
            <w:r/>
            <w:r>
              <w:rPr>
                <w:sz w:val="16"/>
              </w:rPr>
              <w:t>Online fee collection module</w:t>
            </w:r>
          </w:p>
        </w:tc>
        <w:tc>
          <w:tcPr>
            <w:tcW w:type="dxa" w:w="864"/>
          </w:tcPr>
          <w:p>
            <w:r/>
            <w:r>
              <w:rPr>
                <w:sz w:val="16"/>
              </w:rPr>
              <w:t>OUT</w:t>
            </w:r>
          </w:p>
        </w:tc>
        <w:tc>
          <w:tcPr>
            <w:tcW w:type="dxa" w:w="3456"/>
          </w:tcPr>
          <w:p>
            <w:r/>
            <w:r>
              <w:rPr>
                <w:sz w:val="16"/>
              </w:rPr>
              <w:t>Statutory fee is nominal or zero; adding payment gateway introduces citizen friction and payment reconciliation complexity in Phase 1</w:t>
            </w:r>
          </w:p>
        </w:tc>
      </w:tr>
      <w:tr>
        <w:tc>
          <w:tcPr>
            <w:tcW w:type="dxa" w:w="1584"/>
          </w:tcPr>
          <w:p>
            <w:r/>
            <w:r>
              <w:rPr>
                <w:sz w:val="16"/>
              </w:rPr>
              <w:t>Native Mobile App</w:t>
            </w:r>
          </w:p>
        </w:tc>
        <w:tc>
          <w:tcPr>
            <w:tcW w:type="dxa" w:w="3312"/>
          </w:tcPr>
          <w:p>
            <w:r/>
            <w:r>
              <w:rPr>
                <w:sz w:val="16"/>
              </w:rPr>
              <w:t>Dedicated Android / iOS mobile applications</w:t>
            </w:r>
          </w:p>
        </w:tc>
        <w:tc>
          <w:tcPr>
            <w:tcW w:type="dxa" w:w="864"/>
          </w:tcPr>
          <w:p>
            <w:r/>
            <w:r>
              <w:rPr>
                <w:sz w:val="16"/>
              </w:rPr>
              <w:t>OUT</w:t>
            </w:r>
          </w:p>
        </w:tc>
        <w:tc>
          <w:tcPr>
            <w:tcW w:type="dxa" w:w="3456"/>
          </w:tcPr>
          <w:p>
            <w:r/>
            <w:r>
              <w:rPr>
                <w:sz w:val="16"/>
              </w:rPr>
              <w:t>Responsive web portal is accessible from any mobile browser without requiring app downloads or device storage</w:t>
            </w:r>
          </w:p>
        </w:tc>
      </w:tr>
      <w:tr>
        <w:tc>
          <w:tcPr>
            <w:tcW w:type="dxa" w:w="1584"/>
          </w:tcPr>
          <w:p>
            <w:r/>
            <w:r>
              <w:rPr>
                <w:sz w:val="16"/>
              </w:rPr>
              <w:t>Fair-Price e-PoS</w:t>
            </w:r>
          </w:p>
        </w:tc>
        <w:tc>
          <w:tcPr>
            <w:tcW w:type="dxa" w:w="3312"/>
          </w:tcPr>
          <w:p>
            <w:r/>
            <w:r>
              <w:rPr>
                <w:sz w:val="16"/>
              </w:rPr>
              <w:t>Direct real-time integration with fair price shop biometric e-PoS</w:t>
            </w:r>
          </w:p>
        </w:tc>
        <w:tc>
          <w:tcPr>
            <w:tcW w:type="dxa" w:w="864"/>
          </w:tcPr>
          <w:p>
            <w:r/>
            <w:r>
              <w:rPr>
                <w:sz w:val="16"/>
              </w:rPr>
              <w:t>OUT</w:t>
            </w:r>
          </w:p>
        </w:tc>
        <w:tc>
          <w:tcPr>
            <w:tcW w:type="dxa" w:w="3456"/>
          </w:tcPr>
          <w:p>
            <w:r/>
            <w:r>
              <w:rPr>
                <w:sz w:val="16"/>
              </w:rPr>
              <w:t>Managed under separate state central server; deferred to Phase 2 to maintain fixed 44-day go-live</w:t>
            </w:r>
          </w:p>
        </w:tc>
      </w:tr>
      <w:tr>
        <w:tc>
          <w:tcPr>
            <w:tcW w:type="dxa" w:w="1584"/>
          </w:tcPr>
          <w:p>
            <w:r/>
            <w:r>
              <w:rPr>
                <w:sz w:val="16"/>
              </w:rPr>
              <w:t>Legacy Archiving</w:t>
            </w:r>
          </w:p>
        </w:tc>
        <w:tc>
          <w:tcPr>
            <w:tcW w:type="dxa" w:w="3312"/>
          </w:tcPr>
          <w:p>
            <w:r/>
            <w:r>
              <w:rPr>
                <w:sz w:val="16"/>
              </w:rPr>
              <w:t>Digitization of pre-existing paper records prior to go-live</w:t>
            </w:r>
          </w:p>
        </w:tc>
        <w:tc>
          <w:tcPr>
            <w:tcW w:type="dxa" w:w="864"/>
          </w:tcPr>
          <w:p>
            <w:r/>
            <w:r>
              <w:rPr>
                <w:sz w:val="16"/>
              </w:rPr>
              <w:t>OUT</w:t>
            </w:r>
          </w:p>
        </w:tc>
        <w:tc>
          <w:tcPr>
            <w:tcW w:type="dxa" w:w="3456"/>
          </w:tcPr>
          <w:p>
            <w:r/>
            <w:r>
              <w:rPr>
                <w:sz w:val="16"/>
              </w:rPr>
              <w:t>Historical digitization is a separate procurement; RationSeva manages active forward-looking transactions</w:t>
            </w:r>
          </w:p>
        </w:tc>
      </w:tr>
    </w:tbl>
    <w:p>
      <w:pPr>
        <w:spacing w:after="40"/>
      </w:pPr>
    </w:p>
    <w:p>
      <w:pPr>
        <w:pStyle w:val="Heading1"/>
      </w:pPr>
      <w:r>
        <w:rPr>
          <w:color w:val="0B3D91"/>
        </w:rPr>
        <w:t>9. Business Risks, Exposure &amp; Strategic Mitigations</w:t>
      </w:r>
    </w:p>
    <w:p>
      <w:pPr>
        <w:spacing w:after="80"/>
      </w:pPr>
      <w:r>
        <w:t>Risks prioritized by Exposure = Probability (P) x Impact (I):</w:t>
      </w:r>
    </w:p>
    <w:tbl>
      <w:tblPr>
        <w:tblStyle w:val="TableGrid"/>
        <w:tblW w:type="auto" w:w="0"/>
        <w:jc w:val="center"/>
        <w:tblLook w:firstColumn="1" w:firstRow="1" w:lastColumn="0" w:lastRow="0" w:noHBand="0" w:noVBand="1" w:val="04A0"/>
      </w:tblPr>
      <w:tblGrid>
        <w:gridCol w:w="1608"/>
        <w:gridCol w:w="1608"/>
        <w:gridCol w:w="1608"/>
        <w:gridCol w:w="1608"/>
        <w:gridCol w:w="1608"/>
        <w:gridCol w:w="1608"/>
      </w:tblGrid>
      <w:tr>
        <w:tc>
          <w:tcPr>
            <w:tcW w:type="dxa" w:w="1872"/>
            <w:shd w:val="clear" w:color="auto" w:fill="0B3D91"/>
          </w:tcPr>
          <w:p>
            <w:r/>
            <w:r>
              <w:rPr>
                <w:b/>
                <w:color w:val="FFFFFF"/>
                <w:sz w:val="16"/>
              </w:rPr>
              <w:t>Rank &amp; Risk</w:t>
            </w:r>
          </w:p>
        </w:tc>
        <w:tc>
          <w:tcPr>
            <w:tcW w:type="dxa" w:w="432"/>
            <w:shd w:val="clear" w:color="auto" w:fill="0B3D91"/>
          </w:tcPr>
          <w:p>
            <w:r/>
            <w:r>
              <w:rPr>
                <w:b/>
                <w:color w:val="FFFFFF"/>
                <w:sz w:val="16"/>
              </w:rPr>
              <w:t>P</w:t>
            </w:r>
          </w:p>
        </w:tc>
        <w:tc>
          <w:tcPr>
            <w:tcW w:type="dxa" w:w="432"/>
            <w:shd w:val="clear" w:color="auto" w:fill="0B3D91"/>
          </w:tcPr>
          <w:p>
            <w:r/>
            <w:r>
              <w:rPr>
                <w:b/>
                <w:color w:val="FFFFFF"/>
                <w:sz w:val="16"/>
              </w:rPr>
              <w:t>I</w:t>
            </w:r>
          </w:p>
        </w:tc>
        <w:tc>
          <w:tcPr>
            <w:tcW w:type="dxa" w:w="864"/>
            <w:shd w:val="clear" w:color="auto" w:fill="0B3D91"/>
          </w:tcPr>
          <w:p>
            <w:r/>
            <w:r>
              <w:rPr>
                <w:b/>
                <w:color w:val="FFFFFF"/>
                <w:sz w:val="16"/>
              </w:rPr>
              <w:t>Exposure</w:t>
            </w:r>
          </w:p>
        </w:tc>
        <w:tc>
          <w:tcPr>
            <w:tcW w:type="dxa" w:w="2592"/>
            <w:shd w:val="clear" w:color="auto" w:fill="0B3D91"/>
          </w:tcPr>
          <w:p>
            <w:r/>
            <w:r>
              <w:rPr>
                <w:b/>
                <w:color w:val="FFFFFF"/>
                <w:sz w:val="16"/>
              </w:rPr>
              <w:t>Operational Impact</w:t>
            </w:r>
          </w:p>
        </w:tc>
        <w:tc>
          <w:tcPr>
            <w:tcW w:type="dxa" w:w="3024"/>
            <w:shd w:val="clear" w:color="auto" w:fill="0B3D91"/>
          </w:tcPr>
          <w:p>
            <w:r/>
            <w:r>
              <w:rPr>
                <w:b/>
                <w:color w:val="FFFFFF"/>
                <w:sz w:val="16"/>
              </w:rPr>
              <w:t>Strategic Business Response</w:t>
            </w:r>
          </w:p>
        </w:tc>
      </w:tr>
      <w:tr>
        <w:tc>
          <w:tcPr>
            <w:tcW w:type="dxa" w:w="1872"/>
          </w:tcPr>
          <w:p>
            <w:r/>
            <w:r>
              <w:rPr>
                <w:sz w:val="16"/>
              </w:rPr>
              <w:t>1. Staff Skill Gaps</w:t>
            </w:r>
          </w:p>
        </w:tc>
        <w:tc>
          <w:tcPr>
            <w:tcW w:type="dxa" w:w="432"/>
          </w:tcPr>
          <w:p>
            <w:r/>
            <w:r>
              <w:rPr>
                <w:sz w:val="16"/>
              </w:rPr>
              <w:t>0.6</w:t>
            </w:r>
          </w:p>
        </w:tc>
        <w:tc>
          <w:tcPr>
            <w:tcW w:type="dxa" w:w="432"/>
          </w:tcPr>
          <w:p>
            <w:r/>
            <w:r>
              <w:rPr>
                <w:sz w:val="16"/>
              </w:rPr>
              <w:t>6</w:t>
            </w:r>
          </w:p>
        </w:tc>
        <w:tc>
          <w:tcPr>
            <w:tcW w:type="dxa" w:w="864"/>
          </w:tcPr>
          <w:p>
            <w:r/>
            <w:r>
              <w:rPr>
                <w:sz w:val="16"/>
              </w:rPr>
              <w:t>3.6</w:t>
            </w:r>
          </w:p>
        </w:tc>
        <w:tc>
          <w:tcPr>
            <w:tcW w:type="dxa" w:w="2592"/>
          </w:tcPr>
          <w:p>
            <w:r/>
            <w:r>
              <w:rPr>
                <w:sz w:val="16"/>
              </w:rPr>
              <w:t>Clerks unable to navigate complex UI; revert to paper</w:t>
            </w:r>
          </w:p>
        </w:tc>
        <w:tc>
          <w:tcPr>
            <w:tcW w:type="dxa" w:w="3024"/>
          </w:tcPr>
          <w:p>
            <w:r/>
            <w:r>
              <w:rPr>
                <w:sz w:val="16"/>
              </w:rPr>
              <w:t>Large-font, high-contrast 3-step UI; 2-hour mandatory hands-on training with quick-reference bilingual job aids</w:t>
            </w:r>
          </w:p>
        </w:tc>
      </w:tr>
      <w:tr>
        <w:tc>
          <w:tcPr>
            <w:tcW w:type="dxa" w:w="1872"/>
          </w:tcPr>
          <w:p>
            <w:r/>
            <w:r>
              <w:rPr>
                <w:sz w:val="16"/>
              </w:rPr>
              <w:t>2. State Rule Changes</w:t>
            </w:r>
          </w:p>
        </w:tc>
        <w:tc>
          <w:tcPr>
            <w:tcW w:type="dxa" w:w="432"/>
          </w:tcPr>
          <w:p>
            <w:r/>
            <w:r>
              <w:rPr>
                <w:sz w:val="16"/>
              </w:rPr>
              <w:t>0.5</w:t>
            </w:r>
          </w:p>
        </w:tc>
        <w:tc>
          <w:tcPr>
            <w:tcW w:type="dxa" w:w="432"/>
          </w:tcPr>
          <w:p>
            <w:r/>
            <w:r>
              <w:rPr>
                <w:sz w:val="16"/>
              </w:rPr>
              <w:t>7</w:t>
            </w:r>
          </w:p>
        </w:tc>
        <w:tc>
          <w:tcPr>
            <w:tcW w:type="dxa" w:w="864"/>
          </w:tcPr>
          <w:p>
            <w:r/>
            <w:r>
              <w:rPr>
                <w:sz w:val="16"/>
              </w:rPr>
              <w:t>3.5</w:t>
            </w:r>
          </w:p>
        </w:tc>
        <w:tc>
          <w:tcPr>
            <w:tcW w:type="dxa" w:w="2592"/>
          </w:tcPr>
          <w:p>
            <w:r/>
            <w:r>
              <w:rPr>
                <w:sz w:val="16"/>
              </w:rPr>
              <w:t>Mid-year GO invalidates hardcoded rules; system stalls</w:t>
            </w:r>
          </w:p>
        </w:tc>
        <w:tc>
          <w:tcPr>
            <w:tcW w:type="dxa" w:w="3024"/>
          </w:tcPr>
          <w:p>
            <w:r/>
            <w:r>
              <w:rPr>
                <w:sz w:val="16"/>
              </w:rPr>
              <w:t>Decoupled Rule Engine with database-driven versioning and effective dates; no code changes required</w:t>
            </w:r>
          </w:p>
        </w:tc>
      </w:tr>
      <w:tr>
        <w:tc>
          <w:tcPr>
            <w:tcW w:type="dxa" w:w="1872"/>
          </w:tcPr>
          <w:p>
            <w:r/>
            <w:r>
              <w:rPr>
                <w:sz w:val="16"/>
              </w:rPr>
              <w:t>3. Fake Documents</w:t>
            </w:r>
          </w:p>
        </w:tc>
        <w:tc>
          <w:tcPr>
            <w:tcW w:type="dxa" w:w="432"/>
          </w:tcPr>
          <w:p>
            <w:r/>
            <w:r>
              <w:rPr>
                <w:sz w:val="16"/>
              </w:rPr>
              <w:t>0.3</w:t>
            </w:r>
          </w:p>
        </w:tc>
        <w:tc>
          <w:tcPr>
            <w:tcW w:type="dxa" w:w="432"/>
          </w:tcPr>
          <w:p>
            <w:r/>
            <w:r>
              <w:rPr>
                <w:sz w:val="16"/>
              </w:rPr>
              <w:t>7</w:t>
            </w:r>
          </w:p>
        </w:tc>
        <w:tc>
          <w:tcPr>
            <w:tcW w:type="dxa" w:w="864"/>
          </w:tcPr>
          <w:p>
            <w:r/>
            <w:r>
              <w:rPr>
                <w:sz w:val="16"/>
              </w:rPr>
              <w:t>2.1</w:t>
            </w:r>
          </w:p>
        </w:tc>
        <w:tc>
          <w:tcPr>
            <w:tcW w:type="dxa" w:w="2592"/>
          </w:tcPr>
          <w:p>
            <w:r/>
            <w:r>
              <w:rPr>
                <w:sz w:val="16"/>
              </w:rPr>
              <w:t>Ineligible beneficiaries obtain subsidized cards fraudulently</w:t>
            </w:r>
          </w:p>
        </w:tc>
        <w:tc>
          <w:tcPr>
            <w:tcW w:type="dxa" w:w="3024"/>
          </w:tcPr>
          <w:p>
            <w:r/>
            <w:r>
              <w:rPr>
                <w:sz w:val="16"/>
              </w:rPr>
              <w:t>Mandatory clear digital upload, cross-card Aadhaar duplicate check, and officer field-verification return mechanism</w:t>
            </w:r>
          </w:p>
        </w:tc>
      </w:tr>
      <w:tr>
        <w:tc>
          <w:tcPr>
            <w:tcW w:type="dxa" w:w="1872"/>
          </w:tcPr>
          <w:p>
            <w:r/>
            <w:r>
              <w:rPr>
                <w:sz w:val="16"/>
              </w:rPr>
              <w:t>4. Server Downtime</w:t>
            </w:r>
          </w:p>
        </w:tc>
        <w:tc>
          <w:tcPr>
            <w:tcW w:type="dxa" w:w="432"/>
          </w:tcPr>
          <w:p>
            <w:r/>
            <w:r>
              <w:rPr>
                <w:sz w:val="16"/>
              </w:rPr>
              <w:t>0.2</w:t>
            </w:r>
          </w:p>
        </w:tc>
        <w:tc>
          <w:tcPr>
            <w:tcW w:type="dxa" w:w="432"/>
          </w:tcPr>
          <w:p>
            <w:r/>
            <w:r>
              <w:rPr>
                <w:sz w:val="16"/>
              </w:rPr>
              <w:t>6</w:t>
            </w:r>
          </w:p>
        </w:tc>
        <w:tc>
          <w:tcPr>
            <w:tcW w:type="dxa" w:w="864"/>
          </w:tcPr>
          <w:p>
            <w:r/>
            <w:r>
              <w:rPr>
                <w:sz w:val="16"/>
              </w:rPr>
              <w:t>1.2</w:t>
            </w:r>
          </w:p>
        </w:tc>
        <w:tc>
          <w:tcPr>
            <w:tcW w:type="dxa" w:w="2592"/>
          </w:tcPr>
          <w:p>
            <w:r/>
            <w:r>
              <w:rPr>
                <w:sz w:val="16"/>
              </w:rPr>
              <w:t>Portal inaccessible; citizen complaints and missed SLAs</w:t>
            </w:r>
          </w:p>
        </w:tc>
        <w:tc>
          <w:tcPr>
            <w:tcW w:type="dxa" w:w="3024"/>
          </w:tcPr>
          <w:p>
            <w:r/>
            <w:r>
              <w:rPr>
                <w:sz w:val="16"/>
              </w:rPr>
              <w:t>State Data Centre hosting with 99.5% uptime SLA, redundant power/network, and nightly automated database snapshots</w:t>
            </w:r>
          </w:p>
        </w:tc>
      </w:tr>
    </w:tbl>
    <w:p>
      <w:pPr>
        <w:spacing w:after="40"/>
      </w:pPr>
    </w:p>
    <w:p>
      <w:pPr>
        <w:pStyle w:val="Heading1"/>
      </w:pPr>
      <w:r>
        <w:rPr>
          <w:color w:val="0B3D91"/>
        </w:rPr>
        <w:t>10. Cost-Benefit &amp; Business Value Proposition</w:t>
      </w:r>
    </w:p>
    <w:p>
      <w:pPr>
        <w:pStyle w:val="ListBullet"/>
        <w:spacing w:after="20"/>
      </w:pPr>
      <w:r>
        <w:rPr>
          <w:b/>
        </w:rPr>
        <w:t xml:space="preserve">Direct Administrative Savings: </w:t>
      </w:r>
      <w:r>
        <w:t>Elimination of 4,000 paper dossier packets per month (each averaging 8 pages of forms and enclosures = 32,000 sheets/month), physical stationery savings, and substantial reduction in clerical overtime and file retrieval labor.</w:t>
      </w:r>
    </w:p>
    <w:p>
      <w:pPr>
        <w:pStyle w:val="ListBullet"/>
        <w:spacing w:after="20"/>
      </w:pPr>
      <w:r>
        <w:rPr>
          <w:b/>
        </w:rPr>
        <w:t xml:space="preserve">Direct Citizen Economic Value: </w:t>
      </w:r>
      <w:r>
        <w:t>Eliminating ~2.5 unnecessary round trips for 4,000 applicants saves approximately 10,000 citizen transit trips monthly. At an average travel/loss-of-daily-wage cost of ₹150 per visit, this delivers ~₹15,00,000 per month in direct economic relief to the district's citizen base.</w:t>
      </w:r>
    </w:p>
    <w:p>
      <w:pPr>
        <w:pStyle w:val="ListBullet"/>
        <w:spacing w:after="20"/>
      </w:pPr>
      <w:r>
        <w:rPr>
          <w:b/>
        </w:rPr>
        <w:t xml:space="preserve">Intangible &amp; Governance Value: </w:t>
      </w:r>
      <w:r>
        <w:t>100% elimination of touts/middlemen outside the supply office, full statutory compliance with Right to Public Services Act (RTS), complete auditability of every officer decision, and enhanced public trust in the district administration.</w:t>
      </w:r>
    </w:p>
    <w:p>
      <w:pPr>
        <w:pStyle w:val="Heading1"/>
      </w:pPr>
      <w:r>
        <w:rPr>
          <w:color w:val="0B3D91"/>
        </w:rPr>
        <w:t>11. Document Sign-Off &amp; Approvals</w:t>
      </w:r>
    </w:p>
    <w:tbl>
      <w:tblPr>
        <w:tblStyle w:val="TableGrid"/>
        <w:tblW w:type="auto" w:w="0"/>
        <w:jc w:val="center"/>
        <w:tblLook w:firstColumn="1" w:firstRow="1" w:lastColumn="0" w:lastRow="0" w:noHBand="0" w:noVBand="1" w:val="04A0"/>
      </w:tblPr>
      <w:tblGrid>
        <w:gridCol w:w="1930"/>
        <w:gridCol w:w="1930"/>
        <w:gridCol w:w="1930"/>
        <w:gridCol w:w="1930"/>
        <w:gridCol w:w="1930"/>
      </w:tblGrid>
      <w:tr>
        <w:tc>
          <w:tcPr>
            <w:tcW w:type="dxa" w:w="2160"/>
            <w:shd w:val="clear" w:color="auto" w:fill="0B3D91"/>
          </w:tcPr>
          <w:p>
            <w:r/>
            <w:r>
              <w:rPr>
                <w:b/>
                <w:color w:val="FFFFFF"/>
                <w:sz w:val="17"/>
              </w:rPr>
              <w:t>Role / Designation</w:t>
            </w:r>
          </w:p>
        </w:tc>
        <w:tc>
          <w:tcPr>
            <w:tcW w:type="dxa" w:w="2016"/>
            <w:shd w:val="clear" w:color="auto" w:fill="0B3D91"/>
          </w:tcPr>
          <w:p>
            <w:r/>
            <w:r>
              <w:rPr>
                <w:b/>
                <w:color w:val="FFFFFF"/>
                <w:sz w:val="17"/>
              </w:rPr>
              <w:t>Name</w:t>
            </w:r>
          </w:p>
        </w:tc>
        <w:tc>
          <w:tcPr>
            <w:tcW w:type="dxa" w:w="2448"/>
            <w:shd w:val="clear" w:color="auto" w:fill="0B3D91"/>
          </w:tcPr>
          <w:p>
            <w:r/>
            <w:r>
              <w:rPr>
                <w:b/>
                <w:color w:val="FFFFFF"/>
                <w:sz w:val="17"/>
              </w:rPr>
              <w:t>Organization / Department</w:t>
            </w:r>
          </w:p>
        </w:tc>
        <w:tc>
          <w:tcPr>
            <w:tcW w:type="dxa" w:w="1440"/>
            <w:shd w:val="clear" w:color="auto" w:fill="0B3D91"/>
          </w:tcPr>
          <w:p>
            <w:r/>
            <w:r>
              <w:rPr>
                <w:b/>
                <w:color w:val="FFFFFF"/>
                <w:sz w:val="17"/>
              </w:rPr>
              <w:t>Signature</w:t>
            </w:r>
          </w:p>
        </w:tc>
        <w:tc>
          <w:tcPr>
            <w:tcW w:type="dxa" w:w="1152"/>
            <w:shd w:val="clear" w:color="auto" w:fill="0B3D91"/>
          </w:tcPr>
          <w:p>
            <w:r/>
            <w:r>
              <w:rPr>
                <w:b/>
                <w:color w:val="FFFFFF"/>
                <w:sz w:val="17"/>
              </w:rPr>
              <w:t>Date</w:t>
            </w:r>
          </w:p>
        </w:tc>
      </w:tr>
      <w:tr>
        <w:tc>
          <w:tcPr>
            <w:tcW w:type="dxa" w:w="2160"/>
          </w:tcPr>
          <w:p>
            <w:r/>
            <w:r>
              <w:rPr>
                <w:sz w:val="17"/>
              </w:rPr>
              <w:t>Project Sponsor</w:t>
            </w:r>
          </w:p>
        </w:tc>
        <w:tc>
          <w:tcPr>
            <w:tcW w:type="dxa" w:w="2016"/>
          </w:tcPr>
          <w:p>
            <w:r/>
            <w:r>
              <w:rPr>
                <w:sz w:val="17"/>
              </w:rPr>
              <w:t>Shri R. K. Sharma</w:t>
            </w:r>
          </w:p>
        </w:tc>
        <w:tc>
          <w:tcPr>
            <w:tcW w:type="dxa" w:w="2448"/>
          </w:tcPr>
          <w:p>
            <w:r/>
            <w:r>
              <w:rPr>
                <w:sz w:val="17"/>
              </w:rPr>
              <w:t>District Supply Office (DSO)</w:t>
            </w:r>
          </w:p>
        </w:tc>
        <w:tc>
          <w:tcPr>
            <w:tcW w:type="dxa" w:w="1440"/>
          </w:tcPr>
          <w:p>
            <w:r/>
            <w:r>
              <w:rPr>
                <w:sz w:val="17"/>
              </w:rPr>
            </w:r>
          </w:p>
        </w:tc>
        <w:tc>
          <w:tcPr>
            <w:tcW w:type="dxa" w:w="1152"/>
          </w:tcPr>
          <w:p>
            <w:r/>
            <w:r>
              <w:rPr>
                <w:sz w:val="17"/>
              </w:rPr>
            </w:r>
          </w:p>
        </w:tc>
      </w:tr>
      <w:tr>
        <w:tc>
          <w:tcPr>
            <w:tcW w:type="dxa" w:w="2160"/>
          </w:tcPr>
          <w:p>
            <w:r/>
            <w:r>
              <w:rPr>
                <w:sz w:val="17"/>
              </w:rPr>
              <w:t>Head of e-Governance</w:t>
            </w:r>
          </w:p>
        </w:tc>
        <w:tc>
          <w:tcPr>
            <w:tcW w:type="dxa" w:w="2016"/>
          </w:tcPr>
          <w:p>
            <w:r/>
            <w:r>
              <w:rPr>
                <w:sz w:val="17"/>
              </w:rPr>
              <w:t>Smt. A. Deshmukh</w:t>
            </w:r>
          </w:p>
        </w:tc>
        <w:tc>
          <w:tcPr>
            <w:tcW w:type="dxa" w:w="2448"/>
          </w:tcPr>
          <w:p>
            <w:r/>
            <w:r>
              <w:rPr>
                <w:sz w:val="17"/>
              </w:rPr>
              <w:t>District Collectorate</w:t>
            </w:r>
          </w:p>
        </w:tc>
        <w:tc>
          <w:tcPr>
            <w:tcW w:type="dxa" w:w="1440"/>
          </w:tcPr>
          <w:p>
            <w:r/>
            <w:r>
              <w:rPr>
                <w:sz w:val="17"/>
              </w:rPr>
            </w:r>
          </w:p>
        </w:tc>
        <w:tc>
          <w:tcPr>
            <w:tcW w:type="dxa" w:w="1152"/>
          </w:tcPr>
          <w:p>
            <w:r/>
            <w:r>
              <w:rPr>
                <w:sz w:val="17"/>
              </w:rPr>
            </w:r>
          </w:p>
        </w:tc>
      </w:tr>
      <w:tr>
        <w:tc>
          <w:tcPr>
            <w:tcW w:type="dxa" w:w="2160"/>
          </w:tcPr>
          <w:p>
            <w:r/>
            <w:r>
              <w:rPr>
                <w:sz w:val="17"/>
              </w:rPr>
              <w:t>State Policy Liaison</w:t>
            </w:r>
          </w:p>
        </w:tc>
        <w:tc>
          <w:tcPr>
            <w:tcW w:type="dxa" w:w="2016"/>
          </w:tcPr>
          <w:p>
            <w:r/>
            <w:r>
              <w:rPr>
                <w:sz w:val="17"/>
              </w:rPr>
              <w:t>Shri V. Patil</w:t>
            </w:r>
          </w:p>
        </w:tc>
        <w:tc>
          <w:tcPr>
            <w:tcW w:type="dxa" w:w="2448"/>
          </w:tcPr>
          <w:p>
            <w:r/>
            <w:r>
              <w:rPr>
                <w:sz w:val="17"/>
              </w:rPr>
              <w:t>Dept of Food &amp; Civil Supplies</w:t>
            </w:r>
          </w:p>
        </w:tc>
        <w:tc>
          <w:tcPr>
            <w:tcW w:type="dxa" w:w="1440"/>
          </w:tcPr>
          <w:p>
            <w:r/>
            <w:r>
              <w:rPr>
                <w:sz w:val="17"/>
              </w:rPr>
            </w:r>
          </w:p>
        </w:tc>
        <w:tc>
          <w:tcPr>
            <w:tcW w:type="dxa" w:w="1152"/>
          </w:tcPr>
          <w:p>
            <w:r/>
            <w:r>
              <w:rPr>
                <w:sz w:val="17"/>
              </w:rPr>
            </w:r>
          </w:p>
        </w:tc>
      </w:tr>
      <w:tr>
        <w:tc>
          <w:tcPr>
            <w:tcW w:type="dxa" w:w="2160"/>
          </w:tcPr>
          <w:p>
            <w:r/>
            <w:r>
              <w:rPr>
                <w:sz w:val="17"/>
              </w:rPr>
              <w:t>Lead Project Manager</w:t>
            </w:r>
          </w:p>
        </w:tc>
        <w:tc>
          <w:tcPr>
            <w:tcW w:type="dxa" w:w="2016"/>
          </w:tcPr>
          <w:p>
            <w:r/>
            <w:r>
              <w:rPr>
                <w:sz w:val="17"/>
              </w:rPr>
              <w:t>IT Solutions Lead</w:t>
            </w:r>
          </w:p>
        </w:tc>
        <w:tc>
          <w:tcPr>
            <w:tcW w:type="dxa" w:w="2448"/>
          </w:tcPr>
          <w:p>
            <w:r/>
            <w:r>
              <w:rPr>
                <w:sz w:val="17"/>
              </w:rPr>
              <w:t>Technical Delivery Partner</w:t>
            </w:r>
          </w:p>
        </w:tc>
        <w:tc>
          <w:tcPr>
            <w:tcW w:type="dxa" w:w="1440"/>
          </w:tcPr>
          <w:p>
            <w:r/>
            <w:r>
              <w:rPr>
                <w:sz w:val="17"/>
              </w:rPr>
            </w:r>
          </w:p>
        </w:tc>
        <w:tc>
          <w:tcPr>
            <w:tcW w:type="dxa" w:w="1152"/>
          </w:tcPr>
          <w:p>
            <w:r/>
            <w:r>
              <w:rPr>
                <w:sz w:val="17"/>
              </w:rPr>
            </w:r>
          </w:p>
        </w:tc>
      </w:tr>
    </w:tbl>
    <w:p>
      <w:pPr>
        <w:spacing w:after="40"/>
      </w:pP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