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40"/>
        </w:rPr>
        <w:t>RationSeva – Online Ration Card Services Portal</w:t>
      </w:r>
    </w:p>
    <w:p>
      <w:pPr>
        <w:jc w:val="center"/>
      </w:pPr>
      <w:r>
        <w:rPr>
          <w:b/>
          <w:sz w:val="32"/>
        </w:rPr>
        <w:t>Change Management Process</w:t>
      </w:r>
    </w:p>
    <w:p>
      <w:pPr>
        <w:jc w:val="center"/>
      </w:pPr>
      <w:r>
        <w:rPr>
          <w:i/>
        </w:rPr>
        <w:t>Handling state eligibility-rule changes after go-live</w:t>
        <w:br/>
        <w:t>Case Study No. 142 | District Supply Office | Version 1.0 | Oct 2026</w:t>
      </w:r>
    </w:p>
    <w:p>
      <w:pPr>
        <w:pStyle w:val="Heading1"/>
      </w:pPr>
      <w:r>
        <w:rPr>
          <w:color w:val="0B3D91"/>
        </w:rPr>
        <w:t>1. Why This Process Is Needed</w:t>
      </w:r>
    </w:p>
    <w:p>
      <w:pPr>
        <w:spacing w:after="80"/>
      </w:pPr>
      <w:r>
        <w:t>The state is expected to change eligibility rules within the year. This risk has P = 0.5, I = 7 and exposure 3.5 (ranked #2). Uncontrolled edits would break the eligibility checks and the audit trail.</w:t>
      </w:r>
    </w:p>
    <w:p>
      <w:pPr>
        <w:pStyle w:val="Heading1"/>
      </w:pPr>
      <w:r>
        <w:rPr>
          <w:color w:val="0B3D91"/>
        </w:rPr>
        <w:t>2.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432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Requester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State Dept. / DSO staff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Raises a change request (CR) with a copy of the GO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Change Coordinator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Logs the CR, tracks it to closure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Impact Analyst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Business Analyst + Tech Lead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Assesses scope, time, cost and quality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Decision Owner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District Supply Officer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Approves, rejects or defers the change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Implementer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Admin (config) / Developer (code)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Applies the change as a new rule version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Verifier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Tester + 1 Officer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Runs regression tests and signs off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3. Change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02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158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Target time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 – Configuration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Change income limit or document list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Fast track: Admin creates a new rule version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&lt;= 1 working day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B – Logic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New condition or new field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Full process + code release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&lt;= 10 working days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 – New 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New request type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Treated as a new project or phase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Planned release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4. Six-Step Procedure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62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6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Rule-change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518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16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1. Capture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Requester fills in the CR form (GO no., rule, old/new value, effective date)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CR-ID in change log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2. Understand reason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Coordinator confirms the legal source and urgency with the State Dept.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Reason + priority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3. Analyse impact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Assess Scope (screens, rules), Time (days), Cost (effort), Quality (tests to rerun)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Impact sheet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4. Decide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District Supply Officer approves, rejects or defers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Decision + date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5. Update plan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Update the SRS rule table, schedule, test cases and traceability matrix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Updated baseline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6. Implement &amp; verify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New rule version with effective date; rerun decision-table and BVA tests; officer sign-off; SMS/notice to staff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Rule vX.Y live, CR closed</w:t>
            </w:r>
          </w:p>
        </w:tc>
      </w:tr>
    </w:tbl>
    <w:p>
      <w:pPr>
        <w:spacing w:after="40"/>
      </w:pPr>
    </w:p>
    <w:p>
      <w:r>
        <w:rPr>
          <w:i/>
          <w:color w:val="555555"/>
          <w:sz w:val="19"/>
        </w:rPr>
        <w:t>Note: Requests already submitted are evaluated under the rule version that was active on the submission date. This is fair to applicants and keeps the audit trail intact.</w:t>
      </w:r>
    </w:p>
    <w:p>
      <w:pPr>
        <w:pStyle w:val="Heading1"/>
      </w:pPr>
      <w:r>
        <w:rPr>
          <w:color w:val="0B3D91"/>
        </w:rPr>
        <w:t>5.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792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1008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60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Change &amp; reason</w:t>
            </w:r>
          </w:p>
        </w:tc>
        <w:tc>
          <w:tcPr>
            <w:tcW w:type="dxa" w:w="230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Impact (S / T / C / Q)</w:t>
            </w:r>
          </w:p>
        </w:tc>
        <w:tc>
          <w:tcPr>
            <w:tcW w:type="dxa" w:w="1296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58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Implemented &amp; verified</w:t>
            </w:r>
          </w:p>
        </w:tc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CR-001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05-Jan-27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PHH income limit ₹1,00,000 → ₹1,20,000 (State GO 12/2027)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S: 1 rule value; T: 0.5 d; C: ~0.5 person-day; Q: rerun TC-06, TC-12 at new boundary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Approved – DSO, 06-Jan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Rules v1.1, effective 01-Feb; tests passed 07-Jan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CR-002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20-Feb-27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Aadhaar of new member mandatory for Add Member (anti-fraud GO)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S: +1 field, +1 condition; T: 3 d; C: ~3 person-days; Q: update DT-2, TC-07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Approved – DSO, 22-Feb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Release 1.2 on 02-Mar; regression passed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CR-003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10-Mar-27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Add 'Card Surrender' request type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S: new service; T: ~10 d; C: high; Q: new test suite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Deferred to Phase 2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Deferred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