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40"/>
        </w:rPr>
        <w:t>RationSeva – Online Ration Card Services Portal</w:t>
      </w:r>
    </w:p>
    <w:p>
      <w:pPr>
        <w:jc w:val="center"/>
      </w:pPr>
      <w:r>
        <w:rPr>
          <w:b/>
          <w:sz w:val="32"/>
        </w:rPr>
        <w:t>Statement of Work (SOW) &amp; Project Plan</w:t>
      </w:r>
    </w:p>
    <w:p>
      <w:pPr>
        <w:jc w:val="center"/>
      </w:pPr>
      <w:r>
        <w:rPr>
          <w:i/>
        </w:rPr>
        <w:t>Contractual Scope, Detailed WBS, CPM Schedule Analysis, Resource Allocation &amp; Governance</w:t>
        <w:br/>
        <w:t>Case Study No. 142 | District Supply Office | Version 1.0 | Oct 2026</w:t>
      </w:r>
    </w:p>
    <w:p>
      <w:pPr>
        <w:pStyle w:val="Heading1"/>
      </w:pPr>
      <w:r>
        <w:rPr>
          <w:color w:val="0B3D91"/>
        </w:rPr>
        <w:t>1. Project Identification &amp; Contractual Overview</w:t>
      </w:r>
    </w:p>
    <w:p>
      <w:pPr>
        <w:spacing w:after="80"/>
      </w:pPr>
      <w:r>
        <w:rPr>
          <w:b/>
        </w:rPr>
        <w:t xml:space="preserve">Project Charter: </w:t>
      </w:r>
      <w:r>
        <w:t>This Statement of Work (SOW) defines the formal agreement between the District Supply Office (Client / Sponsor) and the Technical Solutions Partner (Contractor) for the turnkey design, development, verification, deployment, and operationalization of the RationSeva Online Ration Card Services Portal.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Project Parameter</w:t>
            </w:r>
          </w:p>
        </w:tc>
        <w:tc>
          <w:tcPr>
            <w:tcW w:type="dxa" w:w="633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Contract Specification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Project Title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RationSeva – Online Ration Card Services Portal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Sponsoring Authority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District Supply Office (DSO), District Collectorate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Contract Type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Fixed Duration, Milestone-Billed Turnkey Software Delivery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Total Schedule Duration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44 Working Days (from Project Inception to Production Go-Live)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Target Production Environment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State Data Centre (SDC) Cloud Infrastructure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Governing Standards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IEEE 830-1998 (SRS), ISO/IEC 25010 Quality Model, IT Act 2000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2. Scope of Work &amp; Deliverables Package (D1 to D6)</w:t>
      </w:r>
    </w:p>
    <w:p>
      <w:pPr>
        <w:spacing w:after="80"/>
      </w:pPr>
      <w:r>
        <w:t>The Contractor is contractually committed to delivering six comprehensive work packages, tied to formal milestone checkpoints: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008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Deliverable ID</w:t>
            </w:r>
          </w:p>
        </w:tc>
        <w:tc>
          <w:tcPr>
            <w:tcW w:type="dxa" w:w="2592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Deliverable Name</w:t>
            </w:r>
          </w:p>
        </w:tc>
        <w:tc>
          <w:tcPr>
            <w:tcW w:type="dxa" w:w="1152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2160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Delivery Format</w:t>
            </w:r>
          </w:p>
        </w:tc>
        <w:tc>
          <w:tcPr>
            <w:tcW w:type="dxa" w:w="230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Acceptance Verification Standard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D1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Requirements &amp; Business Blueprint Package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M1 (Day 6)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IEEE 830 SRS, BRD, Traceability Matrix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Formal sponsor sign-off; 100% FR-to-test mapping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D2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Eligibility Rules Engine &amp; Data Architecture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M2 (Day 31)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Config schema, rule evaluation service, DB scripts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Passing 100% boundary and decision-table test specs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D3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Citizen Portal &amp; Officer Workflow Application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M2 (Day 31)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Deployable web application + SMS gateway hook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Passes end-to-end multi-role functional tests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D4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Quality Assurance &amp; Test Evidence Package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M3 (Day 39)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Test execution logs, BVA/Decision tables, DRE report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DRE &gt;= 85%; zero open Severity-1 / Severity-2 defects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D5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Operational Readiness &amp; Training Enablement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M4 (Day 44)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Bilingual quick-guides, 2h staff training delivery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100% target staff trained; SUS usability score &gt;= 70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D6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Production Deployment &amp; Go-Live Certificate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M4 (Day 44)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SDC production release, operational baseline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Signed Go-Live acceptance certificate from DSO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3. Detailed Work Breakdown Structure (WBS)</w:t>
      </w:r>
    </w:p>
    <w:p>
      <w:pPr>
        <w:spacing w:after="80"/>
      </w:pPr>
      <w:r>
        <w:t>The project scope is hierarchically decomposed into seven primary Level-1 work packages, partitioned down to verifiable operational tasks: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val="clear" w:color="auto" w:fill="0B3D91"/>
          </w:tcPr>
          <w:p>
            <w:r/>
            <w:r>
              <w:rPr>
                <w:b/>
                <w:color w:val="FFFFFF"/>
                <w:sz w:val="15"/>
              </w:rPr>
              <w:t>WBS Code</w:t>
            </w:r>
          </w:p>
        </w:tc>
        <w:tc>
          <w:tcPr>
            <w:tcW w:type="dxa" w:w="2592"/>
            <w:shd w:val="clear" w:color="auto" w:fill="0B3D91"/>
          </w:tcPr>
          <w:p>
            <w:r/>
            <w:r>
              <w:rPr>
                <w:b/>
                <w:color w:val="FFFFFF"/>
                <w:sz w:val="15"/>
              </w:rPr>
              <w:t>Work Package / Task Name</w:t>
            </w:r>
          </w:p>
        </w:tc>
        <w:tc>
          <w:tcPr>
            <w:tcW w:type="dxa" w:w="1728"/>
            <w:shd w:val="clear" w:color="auto" w:fill="0B3D91"/>
          </w:tcPr>
          <w:p>
            <w:r/>
            <w:r>
              <w:rPr>
                <w:b/>
                <w:color w:val="FFFFFF"/>
                <w:sz w:val="15"/>
              </w:rPr>
              <w:t>Input Artifacts</w:t>
            </w:r>
          </w:p>
        </w:tc>
        <w:tc>
          <w:tcPr>
            <w:tcW w:type="dxa" w:w="2592"/>
            <w:shd w:val="clear" w:color="auto" w:fill="0B3D91"/>
          </w:tcPr>
          <w:p>
            <w:r/>
            <w:r>
              <w:rPr>
                <w:b/>
                <w:color w:val="FFFFFF"/>
                <w:sz w:val="15"/>
              </w:rPr>
              <w:t>Core Activities</w:t>
            </w:r>
          </w:p>
        </w:tc>
        <w:tc>
          <w:tcPr>
            <w:tcW w:type="dxa" w:w="1584"/>
            <w:shd w:val="clear" w:color="auto" w:fill="0B3D91"/>
          </w:tcPr>
          <w:p>
            <w:r/>
            <w:r>
              <w:rPr>
                <w:b/>
                <w:color w:val="FFFFFF"/>
                <w:sz w:val="15"/>
              </w:rPr>
              <w:t>Tangible Deliverable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1.0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Requirements Engineering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Forms, staff interviews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Elicit citizen/staff needs; define 11 FRs &amp; 6 NFRs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Signed SRS v1.0 &amp; BRD v1.0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1.1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Stakeholder Elicitation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Citizen/staff questionnaires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Conduct 23 interviews; analyze paper forms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Field interview findings report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1.2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Specification &amp; Traceability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Elicitation data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Author IEEE 830 SRS, MoSCoW priorities, NFRs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Baselined SRS &amp; Traceability Matrix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Service Rules Engine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State food policy circulars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Model 5 request types; build versioned rule schema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Rule Engine module &amp; test harness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2.1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Rule Schema &amp; Versioning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NFSA guidelines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Design table schema for income, quota, and doc list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Data dictionary &amp; migration DDL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2.2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Evaluation Service APIs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Rule schema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Develop stateless evaluate() service with effective dates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REST rule evaluation endpoints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Application Portal Development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SRS FR-01, 02, 03, 05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Build citizen self-service screens &amp; file upload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Tested citizen web portal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3.1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Auth &amp; OTP Subsystem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Telecom SMS API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Implement mobile OTP generation and session management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Login &amp; authentication module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3.2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5-Service Application Wizard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SRS FR-02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Multi-step form with live client-side validation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Application intake wizard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3.3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Document Upload Engine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SRS FR-03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File type/size validator (PDF/JPG &lt;= 2MB)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Document ingestion subsystem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Officer Approval Workflow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SRS FR-07, NFR-02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Develop FIFO work queue and decision actions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Officer approval dashboard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4.1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Review Queue with SLA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SRS FR-07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Build queue sorted oldest-first with &gt;15d SLA alerts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FIFO review queue screen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4.2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Adjudication &amp; Remarks Engine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SRS FR-07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Approve/Reject/Return with mandatory rejection remarks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Decision modal &amp; handlers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4.3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Immutable Audit Subsystem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NFR-02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Log every status and rule alteration with timestamp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Audit trail database &amp; viewer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Status Tracking &amp; SMS Gateway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SRS FR-06, FR-08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State machine transition events &amp; SMS dispatch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SMS notification subsystem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5.1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Status State Machine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UML State Diagram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Implement transitions: Submitted-&gt;Verified-&gt;Approved/etc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State machine logic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5.2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SMS Gateway Integration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Gateway credentials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Template management; asynchronous dispatch (&lt;60s)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Notification worker service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6.0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Testing &amp; Quality Assurance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SRS, Test Plan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Black-box BVA, decision tables, UAT with 30 users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Comprehensive Test Report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6.1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System &amp; Boundary Testing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BVA/EP test cases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Execute TC-01 to TC-20 across all boundary limits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System test execution log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6.2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User Acceptance Testing (UAT)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Test scenarios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Conduct formal UAT with 10 staff and 20 citizens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Signed UAT test report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7.0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Deployment &amp; Staff Enablement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D3, D4, D5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Host on SDC; conduct 2h hands-on training for staff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Trained staff &amp; Go-Live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7.1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SDC Infrastructure Setup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SDC cloud VM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Configure web/db servers, SSL certificate, firewall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Production environment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5"/>
              </w:rPr>
              <w:t>7.2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Staff Training &amp; Cutover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Bilingual user guides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Train staff with low computer skills; verify SUS &gt;= 70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Go-Live Certificate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4. Schedule Analysis – Critical Path Method (CPM) &amp; Float</w:t>
      </w:r>
    </w:p>
    <w:p>
      <w:pPr>
        <w:spacing w:after="80"/>
      </w:pPr>
      <w:r>
        <w:t>Project schedule parameters derived from given task durations and strict dependency logic: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432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Task Description</w:t>
            </w:r>
          </w:p>
        </w:tc>
        <w:tc>
          <w:tcPr>
            <w:tcW w:type="dxa" w:w="648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Dur (d)</w:t>
            </w:r>
          </w:p>
        </w:tc>
        <w:tc>
          <w:tcPr>
            <w:tcW w:type="dxa" w:w="1008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Predecessors</w:t>
            </w:r>
          </w:p>
        </w:tc>
        <w:tc>
          <w:tcPr>
            <w:tcW w:type="dxa" w:w="50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ES</w:t>
            </w:r>
          </w:p>
        </w:tc>
        <w:tc>
          <w:tcPr>
            <w:tcW w:type="dxa" w:w="50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EF</w:t>
            </w:r>
          </w:p>
        </w:tc>
        <w:tc>
          <w:tcPr>
            <w:tcW w:type="dxa" w:w="50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LS</w:t>
            </w:r>
          </w:p>
        </w:tc>
        <w:tc>
          <w:tcPr>
            <w:tcW w:type="dxa" w:w="50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LF</w:t>
            </w:r>
          </w:p>
        </w:tc>
        <w:tc>
          <w:tcPr>
            <w:tcW w:type="dxa" w:w="792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Total Float</w:t>
            </w:r>
          </w:p>
        </w:tc>
        <w:tc>
          <w:tcPr>
            <w:tcW w:type="dxa" w:w="792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Free Float</w:t>
            </w:r>
          </w:p>
        </w:tc>
        <w:tc>
          <w:tcPr>
            <w:tcW w:type="dxa" w:w="936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Critical?</w:t>
            </w:r>
          </w:p>
        </w:tc>
      </w:tr>
      <w:tr>
        <w:tc>
          <w:tcPr>
            <w:tcW w:type="dxa" w:w="432"/>
            <w:shd w:val="clear" w:color="auto" w:fill="FFE0E0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880"/>
            <w:shd w:val="clear" w:color="auto" w:fill="FFE0E0"/>
          </w:tcPr>
          <w:p>
            <w:r/>
            <w:r>
              <w:rPr>
                <w:sz w:val="16"/>
              </w:rPr>
              <w:t>Requirements Engineering</w:t>
            </w:r>
          </w:p>
        </w:tc>
        <w:tc>
          <w:tcPr>
            <w:tcW w:type="dxa" w:w="648"/>
            <w:shd w:val="clear" w:color="auto" w:fill="FFE0E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008"/>
            <w:shd w:val="clear" w:color="auto" w:fill="FFE0E0"/>
          </w:tcPr>
          <w:p>
            <w:r/>
            <w:r>
              <w:rPr>
                <w:sz w:val="16"/>
              </w:rPr>
              <w:t>None (-)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936"/>
            <w:shd w:val="clear" w:color="auto" w:fill="FFE0E0"/>
          </w:tcPr>
          <w:p>
            <w:r/>
            <w:r>
              <w:rPr>
                <w:sz w:val="16"/>
              </w:rPr>
              <w:t>YES (Critical)</w:t>
            </w:r>
          </w:p>
        </w:tc>
      </w:tr>
      <w:tr>
        <w:tc>
          <w:tcPr>
            <w:tcW w:type="dxa" w:w="432"/>
            <w:shd w:val="clear" w:color="auto" w:fill="FFE0E0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2880"/>
            <w:shd w:val="clear" w:color="auto" w:fill="FFE0E0"/>
          </w:tcPr>
          <w:p>
            <w:r/>
            <w:r>
              <w:rPr>
                <w:sz w:val="16"/>
              </w:rPr>
              <w:t>Service rules for 5 request types</w:t>
            </w:r>
          </w:p>
        </w:tc>
        <w:tc>
          <w:tcPr>
            <w:tcW w:type="dxa" w:w="648"/>
            <w:shd w:val="clear" w:color="auto" w:fill="FFE0E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008"/>
            <w:shd w:val="clear" w:color="auto" w:fill="FFE0E0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936"/>
            <w:shd w:val="clear" w:color="auto" w:fill="FFE0E0"/>
          </w:tcPr>
          <w:p>
            <w:r/>
            <w:r>
              <w:rPr>
                <w:sz w:val="16"/>
              </w:rPr>
              <w:t>YES (Critical)</w:t>
            </w:r>
          </w:p>
        </w:tc>
      </w:tr>
      <w:tr>
        <w:tc>
          <w:tcPr>
            <w:tcW w:type="dxa" w:w="432"/>
            <w:shd w:val="clear" w:color="auto" w:fill="E8F0FE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sz w:val="16"/>
              </w:rPr>
              <w:t>Application portal</w:t>
            </w:r>
          </w:p>
        </w:tc>
        <w:tc>
          <w:tcPr>
            <w:tcW w:type="dxa" w:w="648"/>
            <w:shd w:val="clear" w:color="auto" w:fill="E8F0FE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504"/>
            <w:shd w:val="clear" w:color="auto" w:fill="E8F0FE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504"/>
            <w:shd w:val="clear" w:color="auto" w:fill="E8F0FE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504"/>
            <w:shd w:val="clear" w:color="auto" w:fill="E8F0FE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504"/>
            <w:shd w:val="clear" w:color="auto" w:fill="E8F0FE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792"/>
            <w:shd w:val="clear" w:color="auto" w:fill="E8F0FE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92"/>
            <w:shd w:val="clear" w:color="auto" w:fill="E8F0FE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36"/>
            <w:shd w:val="clear" w:color="auto" w:fill="E8F0FE"/>
          </w:tcPr>
          <w:p>
            <w:r/>
            <w:r>
              <w:rPr>
                <w:sz w:val="16"/>
              </w:rPr>
              <w:t>NO (Float = 11d)</w:t>
            </w:r>
          </w:p>
        </w:tc>
      </w:tr>
      <w:tr>
        <w:tc>
          <w:tcPr>
            <w:tcW w:type="dxa" w:w="432"/>
            <w:shd w:val="clear" w:color="auto" w:fill="FFE0E0"/>
          </w:tcPr>
          <w:p>
            <w:r/>
            <w:r>
              <w:rPr>
                <w:sz w:val="16"/>
              </w:rPr>
              <w:t>D</w:t>
            </w:r>
          </w:p>
        </w:tc>
        <w:tc>
          <w:tcPr>
            <w:tcW w:type="dxa" w:w="2880"/>
            <w:shd w:val="clear" w:color="auto" w:fill="FFE0E0"/>
          </w:tcPr>
          <w:p>
            <w:r/>
            <w:r>
              <w:rPr>
                <w:sz w:val="16"/>
              </w:rPr>
              <w:t>Officer approval workflow</w:t>
            </w:r>
          </w:p>
        </w:tc>
        <w:tc>
          <w:tcPr>
            <w:tcW w:type="dxa" w:w="648"/>
            <w:shd w:val="clear" w:color="auto" w:fill="FFE0E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008"/>
            <w:shd w:val="clear" w:color="auto" w:fill="FFE0E0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936"/>
            <w:shd w:val="clear" w:color="auto" w:fill="FFE0E0"/>
          </w:tcPr>
          <w:p>
            <w:r/>
            <w:r>
              <w:rPr>
                <w:sz w:val="16"/>
              </w:rPr>
              <w:t>YES (Critical)</w:t>
            </w:r>
          </w:p>
        </w:tc>
      </w:tr>
      <w:tr>
        <w:tc>
          <w:tcPr>
            <w:tcW w:type="dxa" w:w="432"/>
            <w:shd w:val="clear" w:color="auto" w:fill="FFE0E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2880"/>
            <w:shd w:val="clear" w:color="auto" w:fill="FFE0E0"/>
          </w:tcPr>
          <w:p>
            <w:r/>
            <w:r>
              <w:rPr>
                <w:sz w:val="16"/>
              </w:rPr>
              <w:t>Status &amp; SMS</w:t>
            </w:r>
          </w:p>
        </w:tc>
        <w:tc>
          <w:tcPr>
            <w:tcW w:type="dxa" w:w="648"/>
            <w:shd w:val="clear" w:color="auto" w:fill="FFE0E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FFE0E0"/>
          </w:tcPr>
          <w:p>
            <w:r/>
            <w:r>
              <w:rPr>
                <w:sz w:val="16"/>
              </w:rPr>
              <w:t>D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936"/>
            <w:shd w:val="clear" w:color="auto" w:fill="FFE0E0"/>
          </w:tcPr>
          <w:p>
            <w:r/>
            <w:r>
              <w:rPr>
                <w:sz w:val="16"/>
              </w:rPr>
              <w:t>YES (Critical)</w:t>
            </w:r>
          </w:p>
        </w:tc>
      </w:tr>
      <w:tr>
        <w:tc>
          <w:tcPr>
            <w:tcW w:type="dxa" w:w="432"/>
            <w:shd w:val="clear" w:color="auto" w:fill="FFE0E0"/>
          </w:tcPr>
          <w:p>
            <w:r/>
            <w:r>
              <w:rPr>
                <w:sz w:val="16"/>
              </w:rPr>
              <w:t>F</w:t>
            </w:r>
          </w:p>
        </w:tc>
        <w:tc>
          <w:tcPr>
            <w:tcW w:type="dxa" w:w="2880"/>
            <w:shd w:val="clear" w:color="auto" w:fill="FFE0E0"/>
          </w:tcPr>
          <w:p>
            <w:r/>
            <w:r>
              <w:rPr>
                <w:sz w:val="16"/>
              </w:rPr>
              <w:t>Testing</w:t>
            </w:r>
          </w:p>
        </w:tc>
        <w:tc>
          <w:tcPr>
            <w:tcW w:type="dxa" w:w="648"/>
            <w:shd w:val="clear" w:color="auto" w:fill="FFE0E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008"/>
            <w:shd w:val="clear" w:color="auto" w:fill="FFE0E0"/>
          </w:tcPr>
          <w:p>
            <w:r/>
            <w:r>
              <w:rPr>
                <w:sz w:val="16"/>
              </w:rPr>
              <w:t>C, E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936"/>
            <w:shd w:val="clear" w:color="auto" w:fill="FFE0E0"/>
          </w:tcPr>
          <w:p>
            <w:r/>
            <w:r>
              <w:rPr>
                <w:sz w:val="16"/>
              </w:rPr>
              <w:t>YES (Critical)</w:t>
            </w:r>
          </w:p>
        </w:tc>
      </w:tr>
      <w:tr>
        <w:tc>
          <w:tcPr>
            <w:tcW w:type="dxa" w:w="432"/>
            <w:shd w:val="clear" w:color="auto" w:fill="FFE0E0"/>
          </w:tcPr>
          <w:p>
            <w:r/>
            <w:r>
              <w:rPr>
                <w:sz w:val="16"/>
              </w:rPr>
              <w:t>G</w:t>
            </w:r>
          </w:p>
        </w:tc>
        <w:tc>
          <w:tcPr>
            <w:tcW w:type="dxa" w:w="2880"/>
            <w:shd w:val="clear" w:color="auto" w:fill="FFE0E0"/>
          </w:tcPr>
          <w:p>
            <w:r/>
            <w:r>
              <w:rPr>
                <w:sz w:val="16"/>
              </w:rPr>
              <w:t>Staff training</w:t>
            </w:r>
          </w:p>
        </w:tc>
        <w:tc>
          <w:tcPr>
            <w:tcW w:type="dxa" w:w="648"/>
            <w:shd w:val="clear" w:color="auto" w:fill="FFE0E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FFE0E0"/>
          </w:tcPr>
          <w:p>
            <w:r/>
            <w:r>
              <w:rPr>
                <w:sz w:val="16"/>
              </w:rPr>
              <w:t>F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504"/>
            <w:shd w:val="clear" w:color="auto" w:fill="FFE0E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FE0E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936"/>
            <w:shd w:val="clear" w:color="auto" w:fill="FFE0E0"/>
          </w:tcPr>
          <w:p>
            <w:r/>
            <w:r>
              <w:rPr>
                <w:sz w:val="16"/>
              </w:rPr>
              <w:t>YES (Critical)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B3D91"/>
        </w:rPr>
        <w:t>4.1 Mathematical Walkthrough of Forward &amp; Backward Pass</w:t>
      </w:r>
    </w:p>
    <w:p>
      <w:pPr>
        <w:pStyle w:val="ListBullet"/>
        <w:spacing w:after="20"/>
      </w:pPr>
      <w:r>
        <w:rPr>
          <w:b/>
        </w:rPr>
        <w:t xml:space="preserve">Forward Pass (Early Dates): </w:t>
      </w:r>
      <w:r>
        <w:t>ES(A) = 0 -&gt; EF(A) = 0 + 6 = 6. ES(B) = EF(A) = 6 -&gt; EF(B) = 6 + 8 = 14. ES(C) = EF(A) = 6 -&gt; EF(C) = 6 + 14 = 20. ES(D) = EF(B) = 14 -&gt; EF(D) = 14 + 12 = 26. ES(E) = EF(D) = 26 -&gt; EF(E) = 26 + 5 = 31. Task F requires both C and E; ES(F) = max(EF(C), EF(E)) = max(20, 31) = 31 -&gt; EF(F) = 31 + 8 = 39. ES(G) = EF(F) = 39 -&gt; EF(G) = 39 + 5 = 44.</w:t>
      </w:r>
    </w:p>
    <w:p>
      <w:pPr>
        <w:pStyle w:val="ListBullet"/>
        <w:spacing w:after="20"/>
      </w:pPr>
      <w:r>
        <w:rPr>
          <w:b/>
        </w:rPr>
        <w:t xml:space="preserve">Backward Pass (Late Dates): </w:t>
      </w:r>
      <w:r>
        <w:t>Target project duration = 44 days. LF(G) = 44 -&gt; LS(G) = 44 - 5 = 39. LF(F) = LS(G) = 39 -&gt; LS(F) = 39 - 8 = 31. Task F succeeds both C and E; hence LF(C) = LS(F) = 31 -&gt; LS(C) = 31 - 14 = 17. LF(E) = LS(F) = 31 -&gt; LS(E) = 31 - 5 = 26. LF(D) = LS(E) = 26 -&gt; LS(D) = 26 - 12 = 14. LF(B) = LS(D) = 14 -&gt; LS(B) = 14 - 8 = 6. Task A precedes B and C; LF(A) = min(LS(B), LS(C)) = min(6, 17) = 6 -&gt; LS(A) = 6 - 6 = 0.</w:t>
      </w:r>
    </w:p>
    <w:p>
      <w:pPr>
        <w:pStyle w:val="ListBullet"/>
        <w:spacing w:after="20"/>
      </w:pPr>
      <w:r>
        <w:rPr>
          <w:b/>
        </w:rPr>
        <w:t xml:space="preserve">Critical Path Identification: </w:t>
      </w:r>
      <w:r>
        <w:t>The critical path is defined by zero float (Total Float = LS - ES = 0): Path A -&gt; B -&gt; D -&gt; E -&gt; F -&gt; G. Total duration = 6 + 8 + 12 + 5 + 8 + 5 = 44 Working Days.</w:t>
      </w:r>
    </w:p>
    <w:p>
      <w:pPr>
        <w:pStyle w:val="ListBullet"/>
        <w:spacing w:after="20"/>
      </w:pPr>
      <w:r>
        <w:rPr>
          <w:b/>
        </w:rPr>
        <w:t xml:space="preserve">Float Analysis of Task C (Application Portal): </w:t>
      </w:r>
      <w:r>
        <w:t>Total Float = LS(C) - ES(C) = 17 - 6 = 11 days. Free Float = min(ES of successors) - EF(C) = ES(F) - EF(C) = 31 - 20 = 11 days. Task C can be delayed by up to 11 days without delaying Task F or extending the 44-day project deadline.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39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3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Project Network Diagram (Critical Path highlighted in Red)</w:t>
      </w:r>
    </w:p>
    <w:p>
      <w:pPr>
        <w:pStyle w:val="Heading2"/>
      </w:pPr>
      <w:r>
        <w:rPr>
          <w:color w:val="0B3D91"/>
        </w:rPr>
        <w:t>4.2 Milestones &amp; Contractual Gates</w:t>
      </w:r>
    </w:p>
    <w:p>
      <w:pPr>
        <w:spacing w:after="80"/>
      </w:pPr>
      <w:r>
        <w:t>Four mandatory contractual milestones serve as zero-duration formal gates: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100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388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Formal Gate Criteria</w:t>
            </w:r>
          </w:p>
        </w:tc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Required Sign-Off Authority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M1 – Requirements Sign-Off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Day 6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SRS v1.0 and BRD v1.0 approved; traceability matrix baseline locked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District Supply Officer &amp; Lead BA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M2 – System Build Complete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Day 31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All 11 FRs coded; Portal (C) and Status/SMS (E) successfully integrated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Technical Delivery Lead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M3 – UAT Acceptance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Day 39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All Must-have test cases pass; DRE &gt;= 85%; zero open Sev-1/2 bugs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Lead QA &amp; Staff Representative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M4 – Production Go-Live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Day 44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All DSO staff completed 2h training; SDC cutover complete; portal live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District Collector / DSO Sponsor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86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Milestone Gantt Chart (Red = Critical Tasks, Grey = Float)</w:t>
      </w:r>
    </w:p>
    <w:p>
      <w:pPr>
        <w:pStyle w:val="Heading1"/>
      </w:pPr>
      <w:r>
        <w:rPr>
          <w:color w:val="0B3D91"/>
        </w:rPr>
        <w:t>5. Human Resource Allocation &amp; Resource Leveling Strategy</w:t>
      </w:r>
    </w:p>
    <w:p>
      <w:pPr>
        <w:spacing w:after="80"/>
      </w:pPr>
      <w:r>
        <w:t>To guarantee project execution within 44 days, human resources are allocated based on critical-path prioritization: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0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86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Headcount</w:t>
            </w:r>
          </w:p>
        </w:tc>
        <w:tc>
          <w:tcPr>
            <w:tcW w:type="dxa" w:w="230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Core Task Assignments</w:t>
            </w:r>
          </w:p>
        </w:tc>
        <w:tc>
          <w:tcPr>
            <w:tcW w:type="dxa" w:w="1440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Total Person-Days</w:t>
            </w:r>
          </w:p>
        </w:tc>
        <w:tc>
          <w:tcPr>
            <w:tcW w:type="dxa" w:w="2592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Key Responsibilities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Project Manager (PM)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All (A–G), Change Management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22 (0.5 FTE)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Schedule tracking, risk management, milestone gates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Lead Business Analyst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 (Req), B (Rules), G (Training)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19 (1.0 FTE)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Requirements elicitation, rule specification, staff training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Full-Stack Developer 1 (Lead)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B (Rules), D (Officer Approval)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20 (1.0 FTE)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Rule engine architecture, approval state machine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Full-Stack Developer 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 (Portal), D/E Support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22 (1.0 FTE)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Citizen portal wizard, document upload, then assists D &amp; 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Integration Developer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 (SMS), System Integration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16 (1.0 FTE)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SMS gateway integration, audit log, build pipeline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QA / Test Engineer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Test design (d14–30), F (Testing)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24 (1.0 FTE)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BVA/decision table tests, defect logging, DRE metrics</w:t>
            </w:r>
          </w:p>
        </w:tc>
      </w:tr>
    </w:tbl>
    <w:p>
      <w:pPr>
        <w:spacing w:after="40"/>
      </w:pPr>
    </w:p>
    <w:p>
      <w:r>
        <w:rPr>
          <w:i/>
          <w:color w:val="555555"/>
          <w:sz w:val="19"/>
        </w:rPr>
        <w:t>Note: Resource Leveling Insight: Developer 2 completes Task C (Application Portal) on Day 20. Because Task C has 11 days of float, Developer 2 is redeployed to assist Developer 1 on Task D (Officer Approval) and Task E (Status &amp; SMS) from Day 20 to 31. This injects 11 person-days of additional development capacity directly into the critical path, mitigating schedule risk.</w:t>
      </w:r>
    </w:p>
    <w:p>
      <w:pPr>
        <w:pStyle w:val="Heading1"/>
      </w:pPr>
      <w:r>
        <w:rPr>
          <w:color w:val="0B3D91"/>
        </w:rPr>
        <w:t>6. Project Governance, Cadence &amp; Escalation Protocol</w:t>
      </w:r>
    </w:p>
    <w:p>
      <w:pPr>
        <w:spacing w:after="80"/>
      </w:pPr>
      <w:r>
        <w:t>A three-tier governance model ensures continuous oversight and rapid issue resolution: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Governance Meeting</w:t>
            </w:r>
          </w:p>
        </w:tc>
        <w:tc>
          <w:tcPr>
            <w:tcW w:type="dxa" w:w="158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2592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Participants</w:t>
            </w:r>
          </w:p>
        </w:tc>
        <w:tc>
          <w:tcPr>
            <w:tcW w:type="dxa" w:w="316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Primary Objective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Daily Scrum / Standup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Daily (15 min)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Project Team (PM, Devs, QA, BA)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Track daily progress, identify blockers, verify critical path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Weekly Progress Review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Weekly (60 min)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PM, Lead BA, Supply Officers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Review milestone burn-down, review open defects and risks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Milestone Gate Sign-off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Milestones M1–M4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DSO Sponsor, District Collectorate, PM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Formal acceptance sign-off and authorization to proceed</w:t>
            </w:r>
          </w:p>
        </w:tc>
      </w:tr>
    </w:tbl>
    <w:p>
      <w:pPr>
        <w:spacing w:after="40"/>
      </w:pPr>
    </w:p>
    <w:p>
      <w:pPr>
        <w:spacing w:after="80"/>
      </w:pPr>
      <w:r>
        <w:t>Issue Escalation Hierarchy:</w:t>
      </w:r>
    </w:p>
    <w:p>
      <w:pPr>
        <w:pStyle w:val="ListBullet"/>
        <w:spacing w:after="20"/>
      </w:pPr>
      <w:r>
        <w:rPr>
          <w:b/>
        </w:rPr>
        <w:t xml:space="preserve">Tier 1 (Technical / Task Variance &lt;= 1 day): </w:t>
      </w:r>
      <w:r>
        <w:t>Handled by Contractor Lead Developer &amp; Lead BA within 4 working hours.</w:t>
      </w:r>
    </w:p>
    <w:p>
      <w:pPr>
        <w:pStyle w:val="ListBullet"/>
        <w:spacing w:after="20"/>
      </w:pPr>
      <w:r>
        <w:rPr>
          <w:b/>
        </w:rPr>
        <w:t xml:space="preserve">Tier 2 (Schedule Variance &gt; 1 day or Cross-Module Dependency): </w:t>
      </w:r>
      <w:r>
        <w:t>Escalated to Project Manager; corrective action plan formulated within 24 hours.</w:t>
      </w:r>
    </w:p>
    <w:p>
      <w:pPr>
        <w:pStyle w:val="ListBullet"/>
        <w:spacing w:after="20"/>
      </w:pPr>
      <w:r>
        <w:rPr>
          <w:b/>
        </w:rPr>
        <w:t xml:space="preserve">Tier 3 (Scope Dispute, Policy Contradiction, or Budget Impact): </w:t>
      </w:r>
      <w:r>
        <w:t>Referred directly to District Supply Officer (Sponsor); binding decision within 48 hours.</w:t>
      </w:r>
    </w:p>
    <w:p>
      <w:pPr>
        <w:pStyle w:val="Heading1"/>
      </w:pPr>
      <w:r>
        <w:rPr>
          <w:color w:val="0B3D91"/>
        </w:rPr>
        <w:t>7. Quality Assurance Standards &amp; Acceptance Criteria</w:t>
      </w:r>
    </w:p>
    <w:p>
      <w:pPr>
        <w:pStyle w:val="ListBullet"/>
        <w:spacing w:after="20"/>
      </w:pPr>
      <w:r>
        <w:rPr>
          <w:b/>
        </w:rPr>
        <w:t xml:space="preserve">Functional Completeness: </w:t>
      </w:r>
      <w:r>
        <w:t>100% of Must-have Functional Requirements (FR-01 through FR-09) pass verification against their mapped test cases (TC-01 through TC-18).</w:t>
      </w:r>
    </w:p>
    <w:p>
      <w:pPr>
        <w:pStyle w:val="ListBullet"/>
        <w:spacing w:after="20"/>
      </w:pPr>
      <w:r>
        <w:rPr>
          <w:b/>
        </w:rPr>
        <w:t xml:space="preserve">Defect Removal Efficiency (DRE): </w:t>
      </w:r>
      <w:r>
        <w:t>System testing must achieve DRE &gt;= 85% prior to go-live sign-off, calculated as DRE = E / (E + D).</w:t>
      </w:r>
    </w:p>
    <w:p>
      <w:pPr>
        <w:pStyle w:val="ListBullet"/>
        <w:spacing w:after="20"/>
      </w:pPr>
      <w:r>
        <w:rPr>
          <w:b/>
        </w:rPr>
        <w:t xml:space="preserve">Defect Severity Thresholds: </w:t>
      </w:r>
      <w:r>
        <w:t>Zero open Severity-1 (Blocker) and Severity-2 (Critical) defects at the conclusion of Milestone M3 (UAT Sign-off).</w:t>
      </w:r>
    </w:p>
    <w:p>
      <w:pPr>
        <w:pStyle w:val="ListBullet"/>
        <w:spacing w:after="20"/>
      </w:pPr>
      <w:r>
        <w:rPr>
          <w:b/>
        </w:rPr>
        <w:t xml:space="preserve">Non-Functional Target Verification: </w:t>
      </w:r>
      <w:r>
        <w:t>System availability &gt;= 99.5%, 100% audit logging, sub-3s response time, and SUS usability score &gt;= 70 verified in formal UAT.</w:t>
      </w:r>
    </w:p>
    <w:p>
      <w:pPr>
        <w:pStyle w:val="Heading1"/>
      </w:pPr>
      <w:r>
        <w:rPr>
          <w:color w:val="0B3D91"/>
        </w:rPr>
        <w:t>8. Change Control &amp; Scope Amendment Protocol</w:t>
      </w:r>
    </w:p>
    <w:p>
      <w:pPr>
        <w:spacing w:after="80"/>
      </w:pPr>
      <w:r>
        <w:t>Any proposed amendment to requirements, service rules, schedule, or architecture must comply with the formal 6-step Change Management Process (Capture -&gt; Understand -&gt; Impact Analysis -&gt; Decide -&gt; Update Plan -&gt; Implement &amp; Verify). The District Supply Officer holds sole statutory approval authority for changes impacting scope or legal compliance.</w:t>
      </w:r>
    </w:p>
    <w:p>
      <w:pPr>
        <w:pStyle w:val="Heading1"/>
      </w:pPr>
      <w:r>
        <w:rPr>
          <w:color w:val="0B3D91"/>
        </w:rPr>
        <w:t>9. Post-Go-Live Warranty &amp; SLA Support</w:t>
      </w:r>
    </w:p>
    <w:p>
      <w:pPr>
        <w:spacing w:after="80"/>
      </w:pPr>
      <w:r>
        <w:t>The Contractor provides a 90-calendar-day warranty period commencing immediately following Milestone M4 (Go-Live). Support SLAs: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Severity Level</w:t>
            </w:r>
          </w:p>
        </w:tc>
        <w:tc>
          <w:tcPr>
            <w:tcW w:type="dxa" w:w="374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158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Response Time</w:t>
            </w:r>
          </w:p>
        </w:tc>
        <w:tc>
          <w:tcPr>
            <w:tcW w:type="dxa" w:w="2160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Resolution Time Target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Severity 1 (Critical)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Portal down, citizen login disabled, SMS gateway failure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&lt;= 30 minutes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&lt;= 4 hours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Severity 2 (High)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Eligibility rule miscalculation, document upload error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&lt;= 2 hours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&lt;= 12 hours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Severity 3 (Medium)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UI visual defect, non-critical report generation slow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&lt;= 4 hours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&lt;= 48 hours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Severity 4 (Low)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Minor text typo, documentation clarification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&lt;= 8 hours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Next scheduled release patch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10. Contractual Authorization &amp; 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For and on Behalf of Client (DSO)</w:t>
            </w:r>
          </w:p>
        </w:tc>
        <w:tc>
          <w:tcPr>
            <w:tcW w:type="dxa" w:w="47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For and on Behalf of Contractor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Name: Shri R. K. Sharma</w:t>
              <w:br/>
              <w:t>Title: District Supply Officer (Sponsor)</w:t>
              <w:br/>
              <w:t>Date: ________________________</w:t>
              <w:br/>
              <w:t>Signature: ___________________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Name: Lead Delivery Partner</w:t>
              <w:br/>
              <w:t>Title: Engagement Director</w:t>
              <w:br/>
              <w:t>Date: ________________________</w:t>
              <w:br/>
              <w:t>Signature: ___________________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