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85A9D"/>
          <w:sz w:val="22"/>
        </w:rPr>
        <w:t>ENGINEERING SYSTEM SPECIFICATION</w:t>
      </w:r>
    </w:p>
    <w:p>
      <w:r>
        <w:rPr>
          <w:rFonts w:ascii="Arial" w:hAnsi="Arial"/>
          <w:b/>
          <w:color w:val="0C2340"/>
          <w:sz w:val="36"/>
        </w:rPr>
        <w:t>Real-Time Perception, Sensor Fusion, and Navigation Stack for AMR Platform v4.2</w:t>
      </w:r>
    </w:p>
    <w:p>
      <w:r>
        <w:rPr>
          <w:i/>
          <w:color w:val="556270"/>
          <w:sz w:val="18"/>
        </w:rPr>
        <w:t>Document Identifier: SPEC-AMR-v4.2-REV-C | Engineering Change Order: ECO-88421</w:t>
        <w:br/>
        <w:t>Status: APPROVED FOR PRODUCTION | Security Classification: INTERNAL ENGINEERING SPECIFICATION</w:t>
      </w:r>
    </w:p>
    <w:p>
      <w:r>
        <w:rPr>
          <w:b/>
          <w:color w:val="0C4378"/>
        </w:rPr>
        <w:t>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85A9D"/>
              <w:bottom w:val="none"/>
              <w:right w:val="none"/>
            </w:tcBorders>
          </w:tcPr>
          <w:p>
            <w:r>
              <w:rPr>
                <w:b/>
                <w:color w:val="185A9D"/>
                <w:sz w:val="19"/>
              </w:rPr>
              <w:t>ARCHITECTURAL BASELINE SUMMARY</w:t>
              <w:br/>
            </w:r>
            <w:r>
              <w:rPr>
                <w:color w:val="2A3442"/>
                <w:sz w:val="19"/>
              </w:rPr>
              <w:t>This document defines the production baseline for AMR Platform v4.2. All software components must adhere to the deterministic latency budgets established in Section 5 and interface via the CAN 2.0B message frames defined in Section 6. Firmware builds failing the HIL regression suite (Section 8) are strictly prohibited from fleet deployment.</w:t>
            </w:r>
          </w:p>
        </w:tc>
      </w:tr>
    </w:tbl>
    <w:p/>
    <w:p>
      <w:pPr>
        <w:pStyle w:val="Heading1"/>
      </w:pPr>
      <w:r>
        <w:t>1. System Scope &amp; Operational Boundary Definitions</w:t>
      </w:r>
    </w:p>
    <w:p>
      <w:r>
        <w:t>This engineering specification establishes the definitive hardware interfaces, state estimation mathematics, ROS 2 middleware communications, and fail-safe interlocks governing the Autonomous Mobile Robot (AMR) Platform v4.2 chassis. The system is designed for high-density logistics facilities, automated pallet transport, and dynamic human-robot collaborative work cells.</w:t>
      </w:r>
    </w:p>
    <w:p>
      <w:r>
        <w:t>Operational Design Domain (ODD) Constraints:</w:t>
      </w:r>
    </w:p>
    <w:p>
      <w:pPr>
        <w:pStyle w:val="ListBullet"/>
      </w:pPr>
      <w:r>
        <w:t>Nominal Payload Capacity: 500.0 kg continuous rated load (650.0 kg structural peak limit).</w:t>
      </w:r>
    </w:p>
    <w:p>
      <w:pPr>
        <w:pStyle w:val="ListBullet"/>
      </w:pPr>
      <w:r>
        <w:t>Maximum Linear Velocity: 2.2 m/s forward / reverse along designated high-speed transit corridors.</w:t>
      </w:r>
    </w:p>
    <w:p>
      <w:pPr>
        <w:pStyle w:val="ListBullet"/>
      </w:pPr>
      <w:r>
        <w:t>Maximum Angular Velocity: 1.57 rad/s (90 deg/s) during zero-radius differential pivot maneuvers.</w:t>
      </w:r>
    </w:p>
    <w:p>
      <w:pPr>
        <w:pStyle w:val="ListBullet"/>
      </w:pPr>
      <w:r>
        <w:t>Surface Grading &amp; Ingress: Ingress Protection rating IP54; maximum floor slope gradient of 4.5 degrees.</w:t>
      </w:r>
    </w:p>
    <w:p>
      <w:pPr>
        <w:pStyle w:val="ListBullet"/>
      </w:pPr>
      <w:r>
        <w:t>Ambient Operating Temperature: -5°C to +48°C continuous at non-condensing relative humidity &lt;= 90%.</w:t>
      </w:r>
    </w:p>
    <w:p>
      <w:pPr>
        <w:pStyle w:val="Heading1"/>
      </w:pPr>
      <w:r>
        <w:t>2. Sensor Suite Hardware Interconnect Architecture</w:t>
      </w:r>
    </w:p>
    <w:p>
      <w:r>
        <w:t>The perception stack combines synchronized active optical sensors, high-frequency inertial measurement units, and dual wheel encoders to achieve sub-centimeter localization fidelity under varying lighting and structural clutter.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9E2"/>
          <w:bottom w:val="single" w:sz="10" w:space="0" w:color="D3D9E2"/>
          <w:insideH w:val="single" w:sz="4" w:space="0" w:color="D3D9E2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Sensor Subsystem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Physical Model / Part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Bus Interface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Sample Rate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Operational Role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Primary Safety LiDAR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SICK microScan3 Core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100BASE-TX Ethernet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33 Hz (30ms)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Certified safety field zone protective stop</w:t>
            </w:r>
          </w:p>
        </w:tc>
      </w:tr>
      <w:tr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Secondary Nav LiDAR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Hokuyo UST-20LX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100BASE-T Ethernet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40 Hz (25ms)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Natural feature SLAM &amp; obstacle bypass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Front 3D Depth Camera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Intel RealSense D435i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USB 3.1 Gen 1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30 FPS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Negative obstacle / forklift tines detection</w:t>
            </w:r>
          </w:p>
        </w:tc>
      </w:tr>
      <w:tr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Tactical 6-DOF IMU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Analog Devices ADIS16470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SPI / Dedicated MCU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1000 Hz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High-frequency dead-reckoning state propagation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Wheel Encoders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Broadcom HEDS-5540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Quadrature / FPGA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2000 Hz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Differential wheel velocity feedback</w:t>
            </w:r>
          </w:p>
        </w:tc>
      </w:tr>
    </w:tbl>
    <w:p/>
    <w:p>
      <w:pPr>
        <w:pStyle w:val="Heading1"/>
      </w:pPr>
      <w:r>
        <w:t>3. Multi-Rate State Estimation: Error-State Extended Kalman Filter (ES-EKF)</w:t>
      </w:r>
    </w:p>
    <w:p>
      <w:r>
        <w:t>State estimation is implemented via an Error-State Extended Kalman Filter (ES-EKF) executing on the real-time compute subsystem. By partitioning state representation into a nominal high-rate state and a zero-mean error state, numerical instabilities associated with attitude quaternion singularities are fully suppressed.</w:t>
      </w:r>
    </w:p>
    <w:p>
      <w:r>
        <w:t>Nominal State Vector Definition:</w:t>
      </w:r>
    </w:p>
    <w:p>
      <w:pPr>
        <w:ind w:left="576"/>
      </w:pPr>
      <w:r>
        <w:rPr>
          <w:rFonts w:ascii="Consolas" w:hAnsi="Consolas"/>
          <w:color w:val="184A7D"/>
          <w:sz w:val="19"/>
        </w:rPr>
        <w:t>x = [p_x, p_y, p_z, v_x, v_y, v_z, q_w, q_x, q_y, q_z, b_gx, b_gy, b_gz, b_ax, b_ay, b_az]^T</w:t>
      </w:r>
    </w:p>
    <w:p>
      <w:r>
        <w:t>Where p represents cartesian position in map frame, v represents translational velocity in base frame, q represents unit rotation quaternion, and b_g, b_a denote gyroscope and accelerometer bias vectors respectively.</w:t>
      </w:r>
    </w:p>
    <w:p>
      <w:pPr>
        <w:pStyle w:val="ListBullet"/>
      </w:pPr>
      <w:r>
        <w:t>Propagation Stage (1000 Hz): IMU accelerometer and gyroscope specific force integration drives nominal state forward via fourth-order Runge-Kutta discretization.</w:t>
      </w:r>
    </w:p>
    <w:p>
      <w:pPr>
        <w:pStyle w:val="ListBullet"/>
      </w:pPr>
      <w:r>
        <w:t>Correction Stage 1 (100 Hz): Wheel encoder forward kinematics provide non-holonomic velocity constraints (v_y = 0 assumption with empirical slip variance scaling).</w:t>
      </w:r>
    </w:p>
    <w:p>
      <w:pPr>
        <w:pStyle w:val="ListBullet"/>
      </w:pPr>
      <w:r>
        <w:t>Correction Stage 2 (20 Hz): 2D LiDAR scan-matching pose estimates (Normal Distributions Transform - NDT) provide absolute metric positioning corrections against pre-computed static occupancy grids.</w:t>
      </w:r>
    </w:p>
    <w:p>
      <w:pPr>
        <w:pStyle w:val="ListBullet"/>
      </w:pPr>
      <w:r>
        <w:t>Outlier Rejection Gating: All observation innovations must satisfy Chi-Square gating: d_M^2 = r_k^T * S_k^(-1) * r_k &lt;= gamma (where gamma = 9.21 for 2-DOF p=0.01 significance).</w:t>
      </w:r>
    </w:p>
    <w:p>
      <w:pPr>
        <w:pStyle w:val="Heading1"/>
      </w:pPr>
      <w:r>
        <w:t>4. ROS 2 Middleware Topology &amp; Quality of Service (QoS)</w:t>
      </w:r>
    </w:p>
    <w:p>
      <w:r>
        <w:t>The robotic software stack is architected on ROS 2 Humble Hawksbill, executed on an Ubuntu 22.04 LTS kernel patched with PREEMPT_RT. Inter-process communication between high-bandwidth perception nodes utilizes zero-copy Eclipse iceoryx shared memory bindings.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9E2"/>
          <w:bottom w:val="single" w:sz="10" w:space="0" w:color="D3D9E2"/>
          <w:insideH w:val="single" w:sz="4" w:space="0" w:color="D3D9E2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Topic Namespace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Message Type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Reliability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Durability</w:t>
            </w:r>
          </w:p>
        </w:tc>
        <w:tc>
          <w:tcPr>
            <w:tcW w:type="dxa" w:w="1987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Transport Layer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/sensors/lidar_front/scan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sensor_msgs/LaserScan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BEST_EFFORT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VOLATILE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iceoryx Zero-Copy Shared Mem</w:t>
            </w:r>
          </w:p>
        </w:tc>
      </w:tr>
      <w:tr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/localization/odom_filtered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nav_msgs/Odometry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RELIABLE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VOLATILE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CycloneDDS UDP Loopback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/planning/global_plan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nav_msgs/Path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RELIABLE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TRANSIENT_LOCAL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CycloneDDS UDP Loopback</w:t>
            </w:r>
          </w:p>
        </w:tc>
      </w:tr>
      <w:tr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/control/cmd_vel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geometry_msgs/Twist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RELIABLE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VOLATILE</w:t>
            </w:r>
          </w:p>
        </w:tc>
        <w:tc>
          <w:tcPr>
            <w:tcW w:type="dxa" w:w="1987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Shared Memory IPC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/safety/interlock_state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amr_msgs/SafetyState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RELIABLE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TRANSIENT_LOCAL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Deterministic CAN Bus Bridge</w:t>
            </w:r>
          </w:p>
        </w:tc>
      </w:tr>
    </w:tbl>
    <w:p/>
    <w:p>
      <w:pPr>
        <w:pStyle w:val="Heading1"/>
      </w:pPr>
      <w:r>
        <w:t>5. Real-Time Compute Budget &amp; Execution Timing Deadlines</w:t>
      </w:r>
    </w:p>
    <w:p>
      <w:r>
        <w:t>To guarantee deterministic cycle times under worst-case execution conditions (WCET), hardware threads are isolated via Linux CPU core affinity (cgroups) on the 12-core NVIDIA Jetson AGX Orin Industrial compute module:</w:t>
      </w:r>
    </w:p>
    <w:p>
      <w:pPr>
        <w:pStyle w:val="ListBullet"/>
      </w:pPr>
      <w:r>
        <w:t>Cores 0-3 (Perception / Deep Inference): TensorRT INT8 YOLOv8 3D obstacle inference. Budget: 22.0 ms per frame @ 30 Hz.</w:t>
      </w:r>
    </w:p>
    <w:p>
      <w:pPr>
        <w:pStyle w:val="ListBullet"/>
      </w:pPr>
      <w:r>
        <w:t>Cores 4-5 (State Estimation / EKF): High-priority RT-FIFO (priority 85). Budget: 2.8 ms per cycle @ 100 Hz.</w:t>
      </w:r>
    </w:p>
    <w:p>
      <w:pPr>
        <w:pStyle w:val="ListBullet"/>
      </w:pPr>
      <w:r>
        <w:t>Cores 6-7 (Trajectory Planning / Costmaps): Timed-Elastic-Band (TEB) optimization. Budget: 42.0 ms per cycle @ 10 Hz.</w:t>
      </w:r>
    </w:p>
    <w:p>
      <w:pPr>
        <w:pStyle w:val="ListBullet"/>
      </w:pPr>
      <w:r>
        <w:t>Cores 8-9 (CAN Bus Communication &amp; Motor Feedback): RT-FIFO (priority 90). Budget: 1.5 ms per cycle @ 100 Hz.</w:t>
      </w:r>
    </w:p>
    <w:p>
      <w:pPr>
        <w:pStyle w:val="ListBullet"/>
      </w:pPr>
      <w:r>
        <w:t>Cores 10-11 (Fleet Telemetry &amp; Background Logging): Standard CFS Linux scheduling for non-critical logging.</w:t>
      </w:r>
    </w:p>
    <w:p>
      <w:pPr>
        <w:pStyle w:val="Heading1"/>
      </w:pPr>
      <w:r>
        <w:t>6. Interface Control Document (ICD): CAN Bus 2.0B Specification</w:t>
      </w:r>
    </w:p>
    <w:p>
      <w:r>
        <w:t>Low-level actuator control, motor telemetry, and battery management system (BMS) communications interface over an isolated CAN 2.0B bus operating at 1.0 Mbps baud rate with 11-bit standard arbitration identifiers.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9E2"/>
          <w:bottom w:val="single" w:sz="10" w:space="0" w:color="D3D9E2"/>
          <w:insideH w:val="single" w:sz="4" w:space="0" w:color="D3D9E2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CAN ID (Hex)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Periodicity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Data Length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Signal Payload Architecture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0x100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 ms (100 Hz)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8 Bytes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Byte 0-3: Linear Vel Target (float32, mm/s)</w:t>
              <w:br/>
              <w:t>Byte 4-7: Angular Vel Target (float32, mrad/s)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0x180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20 ms (50 Hz)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4 Bytes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Byte 0: Safety Relay State (0=Trip, 1=Armed)</w:t>
              <w:br/>
              <w:t>Byte 1: E-Stop State (0xAA=OK, 0x55=Depressed)</w:t>
              <w:br/>
              <w:t>Byte 2: Bumper Switch Mask</w:t>
              <w:br/>
              <w:t>Byte 3: Heartbeat Counter (0-255)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0x200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100 ms (10 Hz)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8 Bytes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Byte 0-1: Battery Pack Voltage (uint16, 0.1V/bit)</w:t>
              <w:br/>
              <w:t>Byte 2-3: Pack Current (int16, 0.1A/bit)</w:t>
              <w:br/>
              <w:t>Byte 4: State of Charge SOC (0-100%)</w:t>
              <w:br/>
              <w:t>Byte 5: Max Cell Temp (°C)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0x280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10 ms (100 Hz)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8 Bytes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Byte 0-3: Left Wheel Position (int32 ticks)</w:t>
              <w:br/>
              <w:t>Byte 4-7: Right Wheel Position (int32 ticks)</w:t>
            </w:r>
          </w:p>
        </w:tc>
      </w:tr>
    </w:tbl>
    <w:p/>
    <w:p>
      <w:pPr>
        <w:pStyle w:val="Heading1"/>
      </w:pPr>
      <w:r>
        <w:t>7. Deterministic Safety State Machine &amp; Fault Isolation</w:t>
      </w:r>
    </w:p>
    <w:p>
      <w:r>
        <w:t>The robotic chassis implements an IEC 61508 SIL-2 compliant deterministic finite state machine (FSM). Transition triggers are verified via dual-redundant safety relays prior to motor drive bridge energization:</w:t>
      </w:r>
    </w:p>
    <w:p>
      <w:pPr>
        <w:pStyle w:val="ListBullet"/>
      </w:pPr>
      <w:r>
        <w:t>STATE_INIT: Boot hardware, calibrate IMU zero-point bias, establish CAN bus sync. Duration &lt;= 4.0s.</w:t>
      </w:r>
    </w:p>
    <w:p>
      <w:pPr>
        <w:pStyle w:val="ListBullet"/>
      </w:pPr>
      <w:r>
        <w:t>STATE_LOCALIZING: Scan matching against reference occupancy grid. Convergence criteria: covariance trace Tr(P) &lt; 0.05 m^2.</w:t>
      </w:r>
    </w:p>
    <w:p>
      <w:pPr>
        <w:pStyle w:val="ListBullet"/>
      </w:pPr>
      <w:r>
        <w:t>STATE_MISSION_ACTIVE: Velocity trajectory tracking engaged. Dynamic safety fields active.</w:t>
      </w:r>
    </w:p>
    <w:p>
      <w:pPr>
        <w:pStyle w:val="ListBullet"/>
      </w:pPr>
      <w:r>
        <w:t>STATE_OBSTACLE_SLOWDOWN: Transient entity detected within yellow warning field (distance 1.5m - 2.5m). Velocity clamped to 0.4 m/s.</w:t>
      </w:r>
    </w:p>
    <w:p>
      <w:pPr>
        <w:pStyle w:val="ListBullet"/>
      </w:pPr>
      <w:r>
        <w:t>STATE_SAFETY_STOP: Protective field breach (&lt;1.2m). Electromagnetic brake coil de-energized, deceleration &gt;= 2.5 m/s^2.</w:t>
      </w:r>
    </w:p>
    <w:p>
      <w:pPr>
        <w:pStyle w:val="ListBullet"/>
      </w:pPr>
      <w:r>
        <w:t>STATE_EMERGENCY_LOCKOUT: Hardware E-Stop button depressed or communication watchdog timeout (&gt;150ms). Requires manual reset.</w:t>
      </w:r>
    </w:p>
    <w:p>
      <w:pPr>
        <w:pStyle w:val="Heading1"/>
      </w:pPr>
      <w:r>
        <w:t>8. Hardware-in-the-Loop (HIL) Verification &amp; Test Matrix</w:t>
      </w:r>
    </w:p>
    <w:p>
      <w:r>
        <w:t>Prior to production firmware deployment, all release artifacts must pass automated HIL test execution. Criteria and passing thresholds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9E2"/>
          <w:bottom w:val="single" w:sz="10" w:space="0" w:color="D3D9E2"/>
          <w:insideH w:val="single" w:sz="4" w:space="0" w:color="D3D9E2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Verification ID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Test Scenario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Acceptance Criterion</w:t>
            </w:r>
          </w:p>
        </w:tc>
        <w:tc>
          <w:tcPr>
            <w:tcW w:type="dxa" w:w="2484"/>
            <w:shd w:fill="0C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7"/>
              </w:rPr>
              <w:t>Test Artifact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VER-HIL-01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Synthetic Point-Cloud Rain / Dust Injection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Zero false-positive safety stops over 100 simulated operating hours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Automated Gazebo/Isaac HIL Sim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VER-HIL-02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Simulated CAN Bus Packet Corruption (CRC error)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Controller transition to STATE_SAFETY_STOP within &lt;= 35.0 milliseconds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Vector CANoe Diagnostic Harness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VER-HIL-03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Wheel Traction Loss (Wet Epoxy Floor Sim)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ES-EKF localization error &lt;= 0.08 meters over 25 meter transit run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Dual-axis Roller Dynamometer Rig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VER-HIL-04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Pedestrian Cut-In at 1.8 m/s Forward Speed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Complete stop achieved with minimum 0.35 meter safety buffer preserved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sz w:val="16"/>
              </w:rPr>
              <w:t>Servo-actuated Dummy Target Track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23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