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A83F3" w14:textId="77777777" w:rsidR="00D11607" w:rsidRDefault="00C138B4">
      <w:pPr>
        <w:jc w:val="center"/>
        <w:rPr>
          <w:b/>
          <w:szCs w:val="24"/>
        </w:rPr>
      </w:pPr>
      <w:r>
        <w:rPr>
          <w:b/>
          <w:szCs w:val="24"/>
        </w:rPr>
        <w:t>RECORD YOUR RESPONSE IN THE SPACE PROVIDED UNDER EACH SUBQUESTION</w:t>
      </w:r>
    </w:p>
    <w:p w14:paraId="17E8D8D0" w14:textId="77777777" w:rsidR="00692F35" w:rsidRDefault="00692F35">
      <w:pPr>
        <w:spacing w:line="240" w:lineRule="auto"/>
        <w:jc w:val="both"/>
        <w:rPr>
          <w:b/>
          <w:szCs w:val="24"/>
          <w:u w:val="single"/>
        </w:rPr>
      </w:pPr>
    </w:p>
    <w:p w14:paraId="33D4A864" w14:textId="5020DDC6" w:rsidR="00D11607" w:rsidRDefault="00C138B4">
      <w:pPr>
        <w:spacing w:line="240" w:lineRule="auto"/>
        <w:jc w:val="both"/>
        <w:rPr>
          <w:b/>
          <w:szCs w:val="24"/>
        </w:rPr>
      </w:pPr>
      <w:r>
        <w:rPr>
          <w:b/>
          <w:szCs w:val="24"/>
          <w:u w:val="single"/>
        </w:rPr>
        <w:t xml:space="preserve">AQ5: Adsorption: </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20 Marks</w:t>
      </w:r>
    </w:p>
    <w:p w14:paraId="004CD721" w14:textId="5AD25BE8" w:rsidR="00D11607" w:rsidRDefault="00C138B4">
      <w:pPr>
        <w:spacing w:line="240" w:lineRule="auto"/>
        <w:jc w:val="both"/>
        <w:rPr>
          <w:szCs w:val="24"/>
        </w:rPr>
      </w:pPr>
      <w:r>
        <w:rPr>
          <w:szCs w:val="24"/>
        </w:rPr>
        <w:t>A batch of wastewater from an industrial process has a volume of 10.0 m</w:t>
      </w:r>
      <w:r>
        <w:rPr>
          <w:szCs w:val="24"/>
          <w:vertAlign w:val="superscript"/>
        </w:rPr>
        <w:t>3</w:t>
      </w:r>
      <w:r>
        <w:rPr>
          <w:szCs w:val="24"/>
        </w:rPr>
        <w:t xml:space="preserve"> and is contaminated with phenol at a concentration of 1 g phenol per litre of solution. To reduce the phenol concentration to an acceptable level for discharge, it is mixed with granular activated carbon that contains 0.05 kg phenol per kg of adsorbent. Table AQ5 shows the adsorption isotherm.  </w:t>
      </w:r>
    </w:p>
    <w:p w14:paraId="1EE5B574" w14:textId="77777777" w:rsidR="00D11607" w:rsidRPr="00692F35" w:rsidRDefault="00C138B4">
      <w:pPr>
        <w:spacing w:line="240" w:lineRule="auto"/>
        <w:jc w:val="both"/>
        <w:rPr>
          <w:b/>
          <w:bCs/>
          <w:szCs w:val="24"/>
        </w:rPr>
      </w:pPr>
      <w:r w:rsidRPr="00692F35">
        <w:rPr>
          <w:b/>
          <w:bCs/>
          <w:szCs w:val="24"/>
        </w:rPr>
        <w:t>Table AQ5:</w:t>
      </w:r>
    </w:p>
    <w:tbl>
      <w:tblPr>
        <w:tblStyle w:val="a"/>
        <w:tblW w:w="9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1"/>
        <w:gridCol w:w="770"/>
        <w:gridCol w:w="732"/>
        <w:gridCol w:w="732"/>
        <w:gridCol w:w="732"/>
        <w:gridCol w:w="732"/>
        <w:gridCol w:w="732"/>
        <w:gridCol w:w="732"/>
        <w:gridCol w:w="812"/>
        <w:gridCol w:w="769"/>
      </w:tblGrid>
      <w:tr w:rsidR="00D11607" w14:paraId="0F22C7E1" w14:textId="77777777" w:rsidTr="00692F35">
        <w:trPr>
          <w:trHeight w:val="575"/>
        </w:trPr>
        <w:tc>
          <w:tcPr>
            <w:tcW w:w="2921" w:type="dxa"/>
          </w:tcPr>
          <w:p w14:paraId="6D6ED9EA" w14:textId="77777777" w:rsidR="00D11607" w:rsidRDefault="00C138B4">
            <w:pPr>
              <w:jc w:val="both"/>
            </w:pPr>
            <w:r>
              <w:t>C (kg phenol/m</w:t>
            </w:r>
            <w:r>
              <w:rPr>
                <w:vertAlign w:val="superscript"/>
              </w:rPr>
              <w:t>3</w:t>
            </w:r>
            <w:r>
              <w:t xml:space="preserve"> solution)</w:t>
            </w:r>
          </w:p>
        </w:tc>
        <w:tc>
          <w:tcPr>
            <w:tcW w:w="770" w:type="dxa"/>
          </w:tcPr>
          <w:p w14:paraId="50AAC5C4" w14:textId="77777777" w:rsidR="00D11607" w:rsidRDefault="00C138B4">
            <w:pPr>
              <w:jc w:val="both"/>
            </w:pPr>
            <w:r>
              <w:t>0.001</w:t>
            </w:r>
          </w:p>
        </w:tc>
        <w:tc>
          <w:tcPr>
            <w:tcW w:w="732" w:type="dxa"/>
          </w:tcPr>
          <w:p w14:paraId="4271CF70" w14:textId="77777777" w:rsidR="00D11607" w:rsidRDefault="00C138B4">
            <w:pPr>
              <w:jc w:val="both"/>
            </w:pPr>
            <w:r>
              <w:t>0.02</w:t>
            </w:r>
          </w:p>
        </w:tc>
        <w:tc>
          <w:tcPr>
            <w:tcW w:w="732" w:type="dxa"/>
          </w:tcPr>
          <w:p w14:paraId="232FD05C" w14:textId="77777777" w:rsidR="00D11607" w:rsidRDefault="00C138B4">
            <w:pPr>
              <w:jc w:val="both"/>
            </w:pPr>
            <w:r>
              <w:t>0.08</w:t>
            </w:r>
          </w:p>
        </w:tc>
        <w:tc>
          <w:tcPr>
            <w:tcW w:w="732" w:type="dxa"/>
          </w:tcPr>
          <w:p w14:paraId="7C5916A3" w14:textId="77777777" w:rsidR="00D11607" w:rsidRDefault="00C138B4">
            <w:pPr>
              <w:jc w:val="both"/>
            </w:pPr>
            <w:r>
              <w:t>0.16</w:t>
            </w:r>
          </w:p>
        </w:tc>
        <w:tc>
          <w:tcPr>
            <w:tcW w:w="732" w:type="dxa"/>
          </w:tcPr>
          <w:p w14:paraId="00C6546B" w14:textId="77777777" w:rsidR="00D11607" w:rsidRDefault="00C138B4">
            <w:pPr>
              <w:jc w:val="both"/>
            </w:pPr>
            <w:r>
              <w:t>0.2</w:t>
            </w:r>
          </w:p>
        </w:tc>
        <w:tc>
          <w:tcPr>
            <w:tcW w:w="732" w:type="dxa"/>
          </w:tcPr>
          <w:p w14:paraId="53A1413F" w14:textId="77777777" w:rsidR="00D11607" w:rsidRDefault="00C138B4">
            <w:pPr>
              <w:jc w:val="both"/>
            </w:pPr>
            <w:r>
              <w:t>0.28</w:t>
            </w:r>
          </w:p>
        </w:tc>
        <w:tc>
          <w:tcPr>
            <w:tcW w:w="732" w:type="dxa"/>
          </w:tcPr>
          <w:p w14:paraId="6C50E673" w14:textId="77777777" w:rsidR="00D11607" w:rsidRDefault="00C138B4">
            <w:pPr>
              <w:jc w:val="both"/>
            </w:pPr>
            <w:r>
              <w:t>0.36</w:t>
            </w:r>
          </w:p>
        </w:tc>
        <w:tc>
          <w:tcPr>
            <w:tcW w:w="812" w:type="dxa"/>
          </w:tcPr>
          <w:p w14:paraId="76A5C9E7" w14:textId="77777777" w:rsidR="00D11607" w:rsidRDefault="00C138B4">
            <w:pPr>
              <w:jc w:val="both"/>
            </w:pPr>
            <w:r>
              <w:t>0.44</w:t>
            </w:r>
          </w:p>
        </w:tc>
        <w:tc>
          <w:tcPr>
            <w:tcW w:w="769" w:type="dxa"/>
          </w:tcPr>
          <w:p w14:paraId="513F9422" w14:textId="77777777" w:rsidR="00D11607" w:rsidRDefault="00C138B4">
            <w:pPr>
              <w:jc w:val="both"/>
            </w:pPr>
            <w:r>
              <w:t>0.5</w:t>
            </w:r>
          </w:p>
        </w:tc>
      </w:tr>
      <w:tr w:rsidR="00D11607" w14:paraId="563EFC12" w14:textId="77777777" w:rsidTr="00692F35">
        <w:trPr>
          <w:trHeight w:val="591"/>
        </w:trPr>
        <w:tc>
          <w:tcPr>
            <w:tcW w:w="2921" w:type="dxa"/>
          </w:tcPr>
          <w:p w14:paraId="445AA8F4" w14:textId="77777777" w:rsidR="00D11607" w:rsidRDefault="00C138B4" w:rsidP="00692F35">
            <w:r>
              <w:t>q (kg phenol/kg adsorbent)</w:t>
            </w:r>
          </w:p>
        </w:tc>
        <w:tc>
          <w:tcPr>
            <w:tcW w:w="770" w:type="dxa"/>
          </w:tcPr>
          <w:p w14:paraId="6510648B" w14:textId="77777777" w:rsidR="00D11607" w:rsidRDefault="00C138B4">
            <w:pPr>
              <w:jc w:val="both"/>
            </w:pPr>
            <w:r>
              <w:t>0.045</w:t>
            </w:r>
          </w:p>
        </w:tc>
        <w:tc>
          <w:tcPr>
            <w:tcW w:w="732" w:type="dxa"/>
          </w:tcPr>
          <w:p w14:paraId="40EE0269" w14:textId="77777777" w:rsidR="00D11607" w:rsidRDefault="00C138B4">
            <w:pPr>
              <w:jc w:val="both"/>
            </w:pPr>
            <w:r>
              <w:t>0.08</w:t>
            </w:r>
          </w:p>
        </w:tc>
        <w:tc>
          <w:tcPr>
            <w:tcW w:w="732" w:type="dxa"/>
          </w:tcPr>
          <w:p w14:paraId="05DF4ECA" w14:textId="77777777" w:rsidR="00D11607" w:rsidRDefault="00C138B4">
            <w:pPr>
              <w:jc w:val="both"/>
            </w:pPr>
            <w:r>
              <w:t>0.11</w:t>
            </w:r>
          </w:p>
        </w:tc>
        <w:tc>
          <w:tcPr>
            <w:tcW w:w="732" w:type="dxa"/>
          </w:tcPr>
          <w:p w14:paraId="62DE4A49" w14:textId="77777777" w:rsidR="00D11607" w:rsidRDefault="00C138B4">
            <w:pPr>
              <w:jc w:val="both"/>
            </w:pPr>
            <w:r>
              <w:t>0.13</w:t>
            </w:r>
          </w:p>
        </w:tc>
        <w:tc>
          <w:tcPr>
            <w:tcW w:w="732" w:type="dxa"/>
          </w:tcPr>
          <w:p w14:paraId="04D4C77D" w14:textId="77777777" w:rsidR="00D11607" w:rsidRDefault="00C138B4">
            <w:pPr>
              <w:jc w:val="both"/>
            </w:pPr>
            <w:r>
              <w:t>0.14</w:t>
            </w:r>
          </w:p>
        </w:tc>
        <w:tc>
          <w:tcPr>
            <w:tcW w:w="732" w:type="dxa"/>
          </w:tcPr>
          <w:p w14:paraId="71F5A846" w14:textId="77777777" w:rsidR="00D11607" w:rsidRDefault="00C138B4">
            <w:pPr>
              <w:jc w:val="both"/>
            </w:pPr>
            <w:r>
              <w:t>0.15</w:t>
            </w:r>
          </w:p>
        </w:tc>
        <w:tc>
          <w:tcPr>
            <w:tcW w:w="732" w:type="dxa"/>
          </w:tcPr>
          <w:p w14:paraId="78458986" w14:textId="77777777" w:rsidR="00D11607" w:rsidRDefault="00C138B4">
            <w:pPr>
              <w:jc w:val="both"/>
            </w:pPr>
            <w:r>
              <w:t>0.16</w:t>
            </w:r>
          </w:p>
        </w:tc>
        <w:tc>
          <w:tcPr>
            <w:tcW w:w="812" w:type="dxa"/>
          </w:tcPr>
          <w:p w14:paraId="1EB9E2E0" w14:textId="77777777" w:rsidR="00D11607" w:rsidRDefault="00C138B4">
            <w:pPr>
              <w:jc w:val="both"/>
            </w:pPr>
            <w:r>
              <w:t>0.17</w:t>
            </w:r>
          </w:p>
        </w:tc>
        <w:tc>
          <w:tcPr>
            <w:tcW w:w="769" w:type="dxa"/>
          </w:tcPr>
          <w:p w14:paraId="5C417554" w14:textId="77777777" w:rsidR="00D11607" w:rsidRDefault="00C138B4">
            <w:pPr>
              <w:jc w:val="both"/>
            </w:pPr>
            <w:r>
              <w:t>0.175</w:t>
            </w:r>
          </w:p>
        </w:tc>
      </w:tr>
    </w:tbl>
    <w:p w14:paraId="49590F3D" w14:textId="77777777" w:rsidR="00D11607" w:rsidRDefault="00D11607">
      <w:pPr>
        <w:spacing w:line="240" w:lineRule="auto"/>
        <w:jc w:val="both"/>
        <w:rPr>
          <w:szCs w:val="24"/>
        </w:rPr>
      </w:pPr>
    </w:p>
    <w:p w14:paraId="78AA62AF" w14:textId="1CCCC958" w:rsidR="00D11607" w:rsidRDefault="00C138B4">
      <w:pPr>
        <w:rPr>
          <w:b/>
        </w:rPr>
      </w:pPr>
      <w:r>
        <w:t>a) Analytically or graphically show which model can apply to the adsorption isotherm. The three models including linear isotherm, the Langmuir isotherm, and the Freundlich Isotherm should be discussed. (Note: you must include your graphs in the response if you solve graphically)</w:t>
      </w:r>
      <w:r>
        <w:tab/>
      </w:r>
      <w:r w:rsidR="00692F35">
        <w:tab/>
      </w:r>
      <w:r w:rsidR="00692F35">
        <w:tab/>
      </w:r>
      <w:r w:rsidR="00692F35">
        <w:tab/>
      </w:r>
      <w:r w:rsidR="00692F35">
        <w:tab/>
      </w:r>
      <w:r w:rsidR="00692F35">
        <w:tab/>
      </w:r>
      <w:r w:rsidR="00692F35">
        <w:tab/>
      </w:r>
      <w:r w:rsidR="00692F35">
        <w:tab/>
      </w:r>
      <w:r w:rsidR="00692F35">
        <w:tab/>
      </w:r>
      <w:r w:rsidR="00692F35">
        <w:tab/>
      </w:r>
      <w:r>
        <w:rPr>
          <w:b/>
        </w:rPr>
        <w:t>8 Marks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D11607" w14:paraId="06DC79BF" w14:textId="77777777">
        <w:tc>
          <w:tcPr>
            <w:tcW w:w="9016" w:type="dxa"/>
          </w:tcPr>
          <w:p w14:paraId="3B98D760" w14:textId="77777777" w:rsidR="00D11607" w:rsidRDefault="00C138B4">
            <w:pPr>
              <w:jc w:val="both"/>
              <w:rPr>
                <w:color w:val="FF0000"/>
                <w:szCs w:val="24"/>
              </w:rPr>
            </w:pPr>
            <w:bookmarkStart w:id="0" w:name="_heading=h.gjdgxs" w:colFirst="0" w:colLast="0"/>
            <w:bookmarkEnd w:id="0"/>
            <w:r>
              <w:rPr>
                <w:color w:val="FF0000"/>
                <w:szCs w:val="24"/>
              </w:rPr>
              <w:t>Response:</w:t>
            </w:r>
          </w:p>
          <w:p w14:paraId="718B44D4" w14:textId="77777777" w:rsidR="00D11607" w:rsidRDefault="00D11607">
            <w:pPr>
              <w:rPr>
                <w:szCs w:val="24"/>
              </w:rPr>
            </w:pPr>
          </w:p>
        </w:tc>
      </w:tr>
    </w:tbl>
    <w:p w14:paraId="53374A42" w14:textId="77777777" w:rsidR="00D11607" w:rsidRDefault="00D11607">
      <w:pPr>
        <w:rPr>
          <w:b/>
          <w:szCs w:val="24"/>
          <w:u w:val="single"/>
        </w:rPr>
      </w:pPr>
    </w:p>
    <w:p w14:paraId="0B28B6D2" w14:textId="7754FA20" w:rsidR="00D11607" w:rsidRDefault="00C138B4">
      <w:pPr>
        <w:rPr>
          <w:color w:val="00B050"/>
          <w:szCs w:val="24"/>
        </w:rPr>
      </w:pPr>
      <w:r>
        <w:t xml:space="preserve">b) Determine the equation of the isotherm in the form of </w:t>
      </w:r>
      <m:oMath>
        <m:r>
          <w:rPr>
            <w:rFonts w:ascii="Cambria Math" w:eastAsia="Cambria Math" w:hAnsi="Cambria Math" w:cs="Cambria Math"/>
          </w:rPr>
          <m:t>q=f(c)</m:t>
        </m:r>
      </m:oMath>
      <w:r>
        <w:t xml:space="preserve">. </w:t>
      </w:r>
      <w:r>
        <w:tab/>
      </w:r>
      <w:r>
        <w:tab/>
      </w:r>
      <w:r>
        <w:rPr>
          <w:b/>
        </w:rPr>
        <w:t>2 Marks</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D11607" w14:paraId="449AD0EE" w14:textId="77777777">
        <w:tc>
          <w:tcPr>
            <w:tcW w:w="9016" w:type="dxa"/>
          </w:tcPr>
          <w:p w14:paraId="33FA5EE5" w14:textId="77777777" w:rsidR="00D11607" w:rsidRDefault="00C138B4">
            <w:pPr>
              <w:jc w:val="both"/>
              <w:rPr>
                <w:color w:val="FF0000"/>
                <w:szCs w:val="24"/>
              </w:rPr>
            </w:pPr>
            <w:r>
              <w:rPr>
                <w:color w:val="FF0000"/>
                <w:szCs w:val="24"/>
              </w:rPr>
              <w:t>Response:</w:t>
            </w:r>
          </w:p>
          <w:p w14:paraId="27175168" w14:textId="77777777" w:rsidR="00D11607" w:rsidRDefault="00D11607">
            <w:pPr>
              <w:rPr>
                <w:szCs w:val="24"/>
              </w:rPr>
            </w:pPr>
          </w:p>
        </w:tc>
      </w:tr>
    </w:tbl>
    <w:p w14:paraId="024E259D" w14:textId="77777777" w:rsidR="00D11607" w:rsidRDefault="00D11607">
      <w:pPr>
        <w:jc w:val="both"/>
      </w:pPr>
    </w:p>
    <w:p w14:paraId="0B05A1C6" w14:textId="120C9091" w:rsidR="00D11607" w:rsidRDefault="00C138B4">
      <w:pPr>
        <w:jc w:val="both"/>
      </w:pPr>
      <w:r>
        <w:t xml:space="preserve">c) If the safe concentration of phenol in water for discharge is 0.008 g/L, determine the mass of activated carbon (kg) required in this batch adsorption process. </w:t>
      </w:r>
      <w:r>
        <w:tab/>
      </w:r>
      <w:r>
        <w:tab/>
      </w:r>
      <w:r>
        <w:tab/>
      </w:r>
      <w:r>
        <w:rPr>
          <w:b/>
        </w:rPr>
        <w:t>3 Marks</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D11607" w14:paraId="52F24F3C" w14:textId="77777777">
        <w:tc>
          <w:tcPr>
            <w:tcW w:w="9016" w:type="dxa"/>
          </w:tcPr>
          <w:p w14:paraId="721BE313" w14:textId="77777777" w:rsidR="00D11607" w:rsidRDefault="00C138B4">
            <w:pPr>
              <w:jc w:val="both"/>
              <w:rPr>
                <w:color w:val="FF0000"/>
                <w:szCs w:val="24"/>
              </w:rPr>
            </w:pPr>
            <w:r>
              <w:rPr>
                <w:color w:val="FF0000"/>
                <w:szCs w:val="24"/>
              </w:rPr>
              <w:t>Response:</w:t>
            </w:r>
          </w:p>
          <w:p w14:paraId="32E33EF0" w14:textId="77777777" w:rsidR="00D11607" w:rsidRDefault="00D11607">
            <w:pPr>
              <w:rPr>
                <w:szCs w:val="24"/>
              </w:rPr>
            </w:pPr>
          </w:p>
        </w:tc>
      </w:tr>
    </w:tbl>
    <w:p w14:paraId="34D686AA" w14:textId="77777777" w:rsidR="00D11607" w:rsidRDefault="00D11607">
      <w:pPr>
        <w:jc w:val="both"/>
      </w:pPr>
    </w:p>
    <w:p w14:paraId="24F907BE" w14:textId="77777777" w:rsidR="00D11607" w:rsidRDefault="00C138B4">
      <w:pPr>
        <w:jc w:val="both"/>
      </w:pPr>
      <w:r>
        <w:t>d) Determine the percentage of phenol adsorbed.</w:t>
      </w:r>
      <w:r>
        <w:tab/>
      </w:r>
      <w:r>
        <w:tab/>
      </w:r>
      <w:r>
        <w:tab/>
      </w:r>
      <w:r>
        <w:tab/>
      </w:r>
      <w:r>
        <w:tab/>
      </w:r>
      <w:r>
        <w:rPr>
          <w:b/>
        </w:rPr>
        <w:t>2 Marks</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D11607" w14:paraId="23D67C38" w14:textId="77777777">
        <w:tc>
          <w:tcPr>
            <w:tcW w:w="9016" w:type="dxa"/>
          </w:tcPr>
          <w:p w14:paraId="00AAD1A7" w14:textId="77777777" w:rsidR="00D11607" w:rsidRDefault="00C138B4">
            <w:pPr>
              <w:jc w:val="both"/>
              <w:rPr>
                <w:color w:val="FF0000"/>
                <w:szCs w:val="24"/>
              </w:rPr>
            </w:pPr>
            <w:r>
              <w:rPr>
                <w:color w:val="FF0000"/>
                <w:szCs w:val="24"/>
              </w:rPr>
              <w:t>Response:</w:t>
            </w:r>
          </w:p>
          <w:p w14:paraId="3439AE0A" w14:textId="77777777" w:rsidR="00D11607" w:rsidRDefault="00D11607">
            <w:pPr>
              <w:rPr>
                <w:szCs w:val="24"/>
              </w:rPr>
            </w:pPr>
          </w:p>
        </w:tc>
      </w:tr>
    </w:tbl>
    <w:p w14:paraId="7668335D" w14:textId="77777777" w:rsidR="00D11607" w:rsidRDefault="00D11607">
      <w:pPr>
        <w:jc w:val="both"/>
      </w:pPr>
    </w:p>
    <w:p w14:paraId="16877621" w14:textId="78C4856B" w:rsidR="00D11607" w:rsidRDefault="00C138B4">
      <w:pPr>
        <w:jc w:val="both"/>
        <w:rPr>
          <w:color w:val="00B050"/>
          <w:szCs w:val="24"/>
        </w:rPr>
      </w:pPr>
      <w:r>
        <w:t>e) In a few sentences and using your own words, illustrate some of the advantages and disadvantages of batch adsorption process. (100 words maximum)</w:t>
      </w:r>
      <w:r>
        <w:tab/>
      </w:r>
      <w:r>
        <w:tab/>
      </w:r>
      <w:r>
        <w:tab/>
      </w:r>
      <w:r>
        <w:rPr>
          <w:b/>
        </w:rPr>
        <w:t>5 Marks</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D11607" w14:paraId="5B84D127" w14:textId="77777777">
        <w:tc>
          <w:tcPr>
            <w:tcW w:w="9016" w:type="dxa"/>
          </w:tcPr>
          <w:p w14:paraId="65CB8B1B" w14:textId="77777777" w:rsidR="00D11607" w:rsidRDefault="00C138B4">
            <w:pPr>
              <w:jc w:val="both"/>
              <w:rPr>
                <w:color w:val="FF0000"/>
                <w:szCs w:val="24"/>
              </w:rPr>
            </w:pPr>
            <w:bookmarkStart w:id="1" w:name="_heading=h.30j0zll" w:colFirst="0" w:colLast="0"/>
            <w:bookmarkEnd w:id="1"/>
            <w:r>
              <w:rPr>
                <w:color w:val="FF0000"/>
                <w:szCs w:val="24"/>
              </w:rPr>
              <w:t>Response:</w:t>
            </w:r>
          </w:p>
          <w:p w14:paraId="4CA470B6" w14:textId="77777777" w:rsidR="00D11607" w:rsidRDefault="00D11607">
            <w:pPr>
              <w:rPr>
                <w:szCs w:val="24"/>
              </w:rPr>
            </w:pPr>
          </w:p>
        </w:tc>
      </w:tr>
    </w:tbl>
    <w:p w14:paraId="39987437" w14:textId="11D8DF40" w:rsidR="00C138B4" w:rsidRPr="00692F35" w:rsidRDefault="00692F35" w:rsidP="00692F35">
      <w:pPr>
        <w:jc w:val="center"/>
        <w:rPr>
          <w:b/>
          <w:bCs/>
          <w:sz w:val="28"/>
          <w:szCs w:val="28"/>
        </w:rPr>
      </w:pPr>
      <w:r w:rsidRPr="00BB03F3">
        <w:rPr>
          <w:b/>
          <w:bCs/>
          <w:sz w:val="28"/>
          <w:szCs w:val="28"/>
        </w:rPr>
        <w:t xml:space="preserve">END OF </w:t>
      </w:r>
      <w:r>
        <w:rPr>
          <w:b/>
          <w:bCs/>
          <w:sz w:val="28"/>
          <w:szCs w:val="28"/>
        </w:rPr>
        <w:t>QUESTION AQ</w:t>
      </w:r>
      <w:r>
        <w:rPr>
          <w:b/>
          <w:bCs/>
          <w:sz w:val="28"/>
          <w:szCs w:val="28"/>
        </w:rPr>
        <w:t>5</w:t>
      </w:r>
      <w:bookmarkStart w:id="2" w:name="_GoBack"/>
      <w:bookmarkEnd w:id="2"/>
      <w:r>
        <w:rPr>
          <w:b/>
          <w:bCs/>
          <w:sz w:val="28"/>
          <w:szCs w:val="28"/>
        </w:rPr>
        <w:t xml:space="preserve"> (Go to next page)</w:t>
      </w:r>
    </w:p>
    <w:sectPr w:rsidR="00C138B4" w:rsidRPr="00692F35">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828D1" w14:textId="77777777" w:rsidR="00436C24" w:rsidRDefault="00436C24" w:rsidP="00436C24">
      <w:pPr>
        <w:spacing w:after="0" w:line="240" w:lineRule="auto"/>
      </w:pPr>
      <w:r>
        <w:separator/>
      </w:r>
    </w:p>
  </w:endnote>
  <w:endnote w:type="continuationSeparator" w:id="0">
    <w:p w14:paraId="5B97B528" w14:textId="77777777" w:rsidR="00436C24" w:rsidRDefault="00436C24" w:rsidP="0043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139EE" w14:textId="25F0DE4F" w:rsidR="00436C24" w:rsidRDefault="00436C24">
    <w:pPr>
      <w:pStyle w:val="Footer"/>
    </w:pPr>
    <w:r>
      <w:tab/>
    </w:r>
    <w:r>
      <w:tab/>
    </w:r>
    <w:r w:rsidRPr="00B23819">
      <w:t xml:space="preserve">Page </w:t>
    </w:r>
    <w:r>
      <w:fldChar w:fldCharType="begin"/>
    </w:r>
    <w:r>
      <w:instrText xml:space="preserve"> PAGE  </w:instrText>
    </w:r>
    <w:r>
      <w:fldChar w:fldCharType="separate"/>
    </w:r>
    <w:r>
      <w:t>1</w:t>
    </w:r>
    <w:r>
      <w:fldChar w:fldCharType="end"/>
    </w:r>
    <w:r w:rsidRPr="00B23819">
      <w:t xml:space="preserve"> of </w:t>
    </w:r>
    <w:r>
      <w:fldChar w:fldCharType="begin"/>
    </w:r>
    <w:r>
      <w:instrText xml:space="preserve"> NUMPAGES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FF28E" w14:textId="77777777" w:rsidR="00436C24" w:rsidRDefault="00436C24" w:rsidP="00436C24">
      <w:pPr>
        <w:spacing w:after="0" w:line="240" w:lineRule="auto"/>
      </w:pPr>
      <w:r>
        <w:separator/>
      </w:r>
    </w:p>
  </w:footnote>
  <w:footnote w:type="continuationSeparator" w:id="0">
    <w:p w14:paraId="7F7EBC6E" w14:textId="77777777" w:rsidR="00436C24" w:rsidRDefault="00436C24" w:rsidP="00436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607"/>
    <w:rsid w:val="00436C24"/>
    <w:rsid w:val="00692F35"/>
    <w:rsid w:val="00C138B4"/>
    <w:rsid w:val="00D116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B6A0"/>
  <w15:docId w15:val="{C35861E0-F35F-4611-9C83-1E8A5E04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2F35"/>
    <w:rPr>
      <w:rFonts w:asciiTheme="majorBidi" w:hAnsiTheme="majorBidi"/>
      <w:sz w:val="24"/>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4C21"/>
    <w:pPr>
      <w:ind w:left="720"/>
      <w:contextualSpacing/>
    </w:pPr>
  </w:style>
  <w:style w:type="table" w:styleId="TableGrid">
    <w:name w:val="Table Grid"/>
    <w:basedOn w:val="TableNormal"/>
    <w:uiPriority w:val="39"/>
    <w:rsid w:val="007E5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1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ED7"/>
    <w:rPr>
      <w:rFonts w:ascii="Segoe UI" w:hAnsi="Segoe UI" w:cs="Segoe UI"/>
      <w:sz w:val="18"/>
      <w:szCs w:val="18"/>
      <w:lang w:val="en-GB"/>
    </w:rPr>
  </w:style>
  <w:style w:type="character" w:styleId="PlaceholderText">
    <w:name w:val="Placeholder Text"/>
    <w:basedOn w:val="DefaultParagraphFont"/>
    <w:uiPriority w:val="99"/>
    <w:semiHidden/>
    <w:rsid w:val="001256A7"/>
    <w:rPr>
      <w:color w:val="808080"/>
    </w:rPr>
  </w:style>
  <w:style w:type="character" w:styleId="Hyperlink">
    <w:name w:val="Hyperlink"/>
    <w:basedOn w:val="DefaultParagraphFont"/>
    <w:uiPriority w:val="99"/>
    <w:unhideWhenUsed/>
    <w:rsid w:val="006C6036"/>
    <w:rPr>
      <w:color w:val="0563C1" w:themeColor="hyperlink"/>
      <w:u w:val="single"/>
    </w:rPr>
  </w:style>
  <w:style w:type="character" w:styleId="CommentReference">
    <w:name w:val="annotation reference"/>
    <w:basedOn w:val="DefaultParagraphFont"/>
    <w:uiPriority w:val="99"/>
    <w:semiHidden/>
    <w:unhideWhenUsed/>
    <w:rsid w:val="006C6036"/>
    <w:rPr>
      <w:sz w:val="16"/>
      <w:szCs w:val="16"/>
    </w:rPr>
  </w:style>
  <w:style w:type="paragraph" w:styleId="CommentText">
    <w:name w:val="annotation text"/>
    <w:basedOn w:val="Normal"/>
    <w:link w:val="CommentTextChar"/>
    <w:uiPriority w:val="99"/>
    <w:semiHidden/>
    <w:unhideWhenUsed/>
    <w:rsid w:val="006C6036"/>
    <w:pPr>
      <w:spacing w:line="240" w:lineRule="auto"/>
    </w:pPr>
    <w:rPr>
      <w:sz w:val="20"/>
      <w:szCs w:val="20"/>
    </w:rPr>
  </w:style>
  <w:style w:type="character" w:customStyle="1" w:styleId="CommentTextChar">
    <w:name w:val="Comment Text Char"/>
    <w:basedOn w:val="DefaultParagraphFont"/>
    <w:link w:val="CommentText"/>
    <w:uiPriority w:val="99"/>
    <w:semiHidden/>
    <w:rsid w:val="006C6036"/>
    <w:rPr>
      <w:sz w:val="20"/>
      <w:szCs w:val="20"/>
      <w:lang w:val="en-GB"/>
    </w:rPr>
  </w:style>
  <w:style w:type="paragraph" w:styleId="CommentSubject">
    <w:name w:val="annotation subject"/>
    <w:basedOn w:val="CommentText"/>
    <w:next w:val="CommentText"/>
    <w:link w:val="CommentSubjectChar"/>
    <w:uiPriority w:val="99"/>
    <w:semiHidden/>
    <w:unhideWhenUsed/>
    <w:rsid w:val="006C6036"/>
    <w:rPr>
      <w:b/>
      <w:bCs/>
    </w:rPr>
  </w:style>
  <w:style w:type="character" w:customStyle="1" w:styleId="CommentSubjectChar">
    <w:name w:val="Comment Subject Char"/>
    <w:basedOn w:val="CommentTextChar"/>
    <w:link w:val="CommentSubject"/>
    <w:uiPriority w:val="99"/>
    <w:semiHidden/>
    <w:rsid w:val="006C6036"/>
    <w:rPr>
      <w:b/>
      <w:bCs/>
      <w:sz w:val="20"/>
      <w:szCs w:val="20"/>
      <w:lang w:val="en-GB"/>
    </w:rPr>
  </w:style>
  <w:style w:type="paragraph" w:styleId="Revision">
    <w:name w:val="Revision"/>
    <w:hidden/>
    <w:uiPriority w:val="99"/>
    <w:semiHidden/>
    <w:rsid w:val="00576790"/>
    <w:pPr>
      <w:spacing w:after="0" w:line="240" w:lineRule="auto"/>
    </w:pPr>
    <w:rPr>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436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C24"/>
    <w:rPr>
      <w:lang w:val="en-GB"/>
    </w:rPr>
  </w:style>
  <w:style w:type="paragraph" w:styleId="Footer">
    <w:name w:val="footer"/>
    <w:basedOn w:val="Normal"/>
    <w:link w:val="FooterChar"/>
    <w:uiPriority w:val="99"/>
    <w:unhideWhenUsed/>
    <w:rsid w:val="00436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C2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I+qC1qyQ5Hh8/AGiDfMWbhizw==">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Saman Ilankoon Mudiyanselage</dc:creator>
  <cp:lastModifiedBy>Akshat Tanksale</cp:lastModifiedBy>
  <cp:revision>4</cp:revision>
  <dcterms:created xsi:type="dcterms:W3CDTF">2020-05-24T01:49:00Z</dcterms:created>
  <dcterms:modified xsi:type="dcterms:W3CDTF">2020-06-04T07:51:00Z</dcterms:modified>
</cp:coreProperties>
</file>