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BA6FE" w14:textId="77777777" w:rsidR="004F2D68" w:rsidRDefault="008B2784">
      <w:pPr>
        <w:jc w:val="center"/>
        <w:rPr>
          <w:b/>
          <w:szCs w:val="24"/>
        </w:rPr>
      </w:pPr>
      <w:r>
        <w:rPr>
          <w:b/>
          <w:szCs w:val="24"/>
        </w:rPr>
        <w:t>RECORD YOUR RESPONSE IN THE SPACE PROVIDED UNDER EACH SUBQUESTION</w:t>
      </w:r>
    </w:p>
    <w:p w14:paraId="0072138D" w14:textId="77777777" w:rsidR="004F2D68" w:rsidRDefault="008B2784">
      <w:pPr>
        <w:spacing w:line="240" w:lineRule="auto"/>
        <w:jc w:val="both"/>
        <w:rPr>
          <w:b/>
        </w:rPr>
      </w:pPr>
      <w:r>
        <w:rPr>
          <w:b/>
          <w:szCs w:val="24"/>
          <w:u w:val="single"/>
        </w:rPr>
        <w:t>BQ</w:t>
      </w:r>
      <w:r>
        <w:rPr>
          <w:b/>
          <w:u w:val="single"/>
        </w:rPr>
        <w:t xml:space="preserve">6: Liquid-liquid Extraction (LLE): </w:t>
      </w:r>
      <w:r>
        <w:rPr>
          <w:color w:val="00B050"/>
          <w:szCs w:val="24"/>
        </w:rPr>
        <w:tab/>
      </w:r>
      <w:r>
        <w:rPr>
          <w:color w:val="00B050"/>
          <w:szCs w:val="24"/>
        </w:rPr>
        <w:tab/>
      </w:r>
      <w:r>
        <w:rPr>
          <w:color w:val="00B050"/>
          <w:szCs w:val="24"/>
        </w:rPr>
        <w:tab/>
      </w:r>
      <w:r>
        <w:rPr>
          <w:color w:val="00B050"/>
          <w:szCs w:val="24"/>
        </w:rPr>
        <w:tab/>
      </w:r>
      <w:r>
        <w:rPr>
          <w:color w:val="00B050"/>
          <w:szCs w:val="24"/>
        </w:rPr>
        <w:tab/>
      </w:r>
      <w:r>
        <w:rPr>
          <w:b/>
          <w:color w:val="00B050"/>
          <w:szCs w:val="24"/>
        </w:rPr>
        <w:tab/>
      </w:r>
      <w:r>
        <w:rPr>
          <w:b/>
          <w:szCs w:val="24"/>
        </w:rPr>
        <w:t>20 Marks</w:t>
      </w:r>
    </w:p>
    <w:p w14:paraId="3364C152" w14:textId="01F0AFA1" w:rsidR="004F2D68" w:rsidRDefault="008B2784">
      <w:pPr>
        <w:spacing w:line="360" w:lineRule="auto"/>
        <w:jc w:val="both"/>
      </w:pPr>
      <w:r>
        <w:t xml:space="preserve">Toluene is to be extracted from heptane, using sulpholane as a solvent in a multi-stage equilibrium counter-current liquid-liquid extraction (LLE) process at 25°C and 1 atm.  The miscibility phase boundary is shown in Fig. BQ6, where the terminal conditions for the LLE process are also included. Note that the symbol </w:t>
      </w:r>
      <m:oMath>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0</m:t>
            </m:r>
          </m:sub>
        </m:sSub>
      </m:oMath>
      <w:r>
        <w:t xml:space="preserve"> refers to the fresh feed, </w:t>
      </w:r>
      <m:oMath>
        <m:sSub>
          <m:sSubPr>
            <m:ctrlPr>
              <w:rPr>
                <w:rFonts w:ascii="Cambria Math" w:eastAsia="Cambria Math" w:hAnsi="Cambria Math" w:cs="Cambria Math"/>
              </w:rPr>
            </m:ctrlPr>
          </m:sSubPr>
          <m:e>
            <m:r>
              <w:rPr>
                <w:rFonts w:ascii="Cambria Math" w:eastAsia="Cambria Math" w:hAnsi="Cambria Math" w:cs="Cambria Math"/>
              </w:rPr>
              <m:t>L</m:t>
            </m:r>
          </m:e>
          <m:sub>
            <m:r>
              <w:rPr>
                <w:rFonts w:ascii="Cambria Math" w:eastAsia="Cambria Math" w:hAnsi="Cambria Math" w:cs="Cambria Math"/>
              </w:rPr>
              <m:t>N</m:t>
            </m:r>
          </m:sub>
        </m:sSub>
        <m:r>
          <w:rPr>
            <w:rFonts w:ascii="Cambria Math" w:eastAsia="Cambria Math" w:hAnsi="Cambria Math" w:cs="Cambria Math"/>
          </w:rPr>
          <m:t xml:space="preserve"> </m:t>
        </m:r>
      </m:oMath>
      <w:r>
        <w:t xml:space="preserve">is the final raffinate and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N+1</m:t>
            </m:r>
          </m:sub>
        </m:sSub>
      </m:oMath>
      <w:r>
        <w:rPr>
          <w:rFonts w:ascii="Cambria Math" w:eastAsia="Cambria Math" w:hAnsi="Cambria Math" w:cs="Cambria Math"/>
        </w:rPr>
        <w:t xml:space="preserve"> is</w:t>
      </w:r>
      <w:r>
        <w:t xml:space="preserve"> sulpholane flow in. </w:t>
      </w:r>
    </w:p>
    <w:p w14:paraId="098E646C" w14:textId="264A06DA" w:rsidR="00C96BF3" w:rsidRDefault="00C96BF3">
      <w:pPr>
        <w:spacing w:line="360" w:lineRule="auto"/>
        <w:jc w:val="both"/>
        <w:rPr>
          <w:color w:val="00B050"/>
          <w:szCs w:val="24"/>
        </w:rPr>
      </w:pPr>
      <w:r>
        <w:rPr>
          <w:noProof/>
          <w:color w:val="00B050"/>
          <w:szCs w:val="24"/>
        </w:rPr>
        <w:drawing>
          <wp:inline distT="0" distB="0" distL="0" distR="0" wp14:anchorId="5E012BD0" wp14:editId="55B7E7D2">
            <wp:extent cx="5816009" cy="39883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9911" cy="4011617"/>
                    </a:xfrm>
                    <a:prstGeom prst="rect">
                      <a:avLst/>
                    </a:prstGeom>
                    <a:noFill/>
                  </pic:spPr>
                </pic:pic>
              </a:graphicData>
            </a:graphic>
          </wp:inline>
        </w:drawing>
      </w:r>
    </w:p>
    <w:p w14:paraId="66AD24B7" w14:textId="77777777" w:rsidR="004F2D68" w:rsidRDefault="008B2784">
      <w:pPr>
        <w:spacing w:line="360" w:lineRule="auto"/>
        <w:jc w:val="center"/>
        <w:rPr>
          <w:b/>
          <w:szCs w:val="24"/>
        </w:rPr>
      </w:pPr>
      <w:r>
        <w:rPr>
          <w:b/>
          <w:szCs w:val="24"/>
        </w:rPr>
        <w:t>Figure BQ6</w:t>
      </w:r>
    </w:p>
    <w:p w14:paraId="1B66796B" w14:textId="5B397B5B" w:rsidR="004F2D68" w:rsidRDefault="008B2784">
      <w:pPr>
        <w:spacing w:line="360" w:lineRule="auto"/>
        <w:jc w:val="both"/>
      </w:pPr>
      <w:r>
        <w:t xml:space="preserve">a) Determine the feed composition for all three components. </w:t>
      </w:r>
      <w:r>
        <w:tab/>
      </w:r>
      <w:r>
        <w:tab/>
      </w:r>
      <w:r>
        <w:tab/>
      </w:r>
      <w:r>
        <w:rPr>
          <w:b/>
        </w:rPr>
        <w:t>2 Marks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F2D68" w14:paraId="78091359" w14:textId="77777777">
        <w:tc>
          <w:tcPr>
            <w:tcW w:w="9016" w:type="dxa"/>
          </w:tcPr>
          <w:p w14:paraId="454CB7CA" w14:textId="77777777" w:rsidR="004F2D68" w:rsidRDefault="008B2784">
            <w:pPr>
              <w:jc w:val="both"/>
              <w:rPr>
                <w:color w:val="FF0000"/>
                <w:szCs w:val="24"/>
              </w:rPr>
            </w:pPr>
            <w:bookmarkStart w:id="0" w:name="_heading=h.gjdgxs" w:colFirst="0" w:colLast="0"/>
            <w:bookmarkEnd w:id="0"/>
            <w:r>
              <w:rPr>
                <w:color w:val="FF0000"/>
                <w:szCs w:val="24"/>
              </w:rPr>
              <w:t>Response:</w:t>
            </w:r>
          </w:p>
          <w:p w14:paraId="2B33A9E2" w14:textId="77777777" w:rsidR="004F2D68" w:rsidRDefault="004F2D68">
            <w:pPr>
              <w:rPr>
                <w:szCs w:val="24"/>
              </w:rPr>
            </w:pPr>
          </w:p>
        </w:tc>
      </w:tr>
    </w:tbl>
    <w:p w14:paraId="0F382BC8" w14:textId="77777777" w:rsidR="004F2D68" w:rsidRDefault="004F2D68">
      <w:pPr>
        <w:spacing w:line="360" w:lineRule="auto"/>
        <w:jc w:val="both"/>
      </w:pPr>
    </w:p>
    <w:p w14:paraId="78F4413D" w14:textId="473E44B3" w:rsidR="004F2D68" w:rsidRDefault="008B2784">
      <w:pPr>
        <w:spacing w:line="360" w:lineRule="auto"/>
        <w:jc w:val="both"/>
        <w:rPr>
          <w:b/>
        </w:rPr>
      </w:pPr>
      <w:r>
        <w:t>b) Label the raffinate and extract layers on the equilibrium plot (by adding text box). Discuss the partitioning of the solute composition in raffinate and extract layers, and also discuss which phase will be more enriched in toluene. (150 words max).</w:t>
      </w:r>
      <w:r>
        <w:tab/>
      </w:r>
      <w:r>
        <w:tab/>
      </w:r>
      <w:r>
        <w:tab/>
      </w:r>
      <w:r>
        <w:tab/>
      </w:r>
      <w:r>
        <w:rPr>
          <w:b/>
        </w:rPr>
        <w:t>2 Marks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F2D68" w14:paraId="5F57A83D" w14:textId="77777777">
        <w:tc>
          <w:tcPr>
            <w:tcW w:w="9016" w:type="dxa"/>
          </w:tcPr>
          <w:p w14:paraId="4D77BA18" w14:textId="77777777" w:rsidR="004F2D68" w:rsidRDefault="008B2784">
            <w:pPr>
              <w:jc w:val="both"/>
              <w:rPr>
                <w:color w:val="FF0000"/>
                <w:szCs w:val="24"/>
              </w:rPr>
            </w:pPr>
            <w:r>
              <w:rPr>
                <w:color w:val="FF0000"/>
                <w:szCs w:val="24"/>
              </w:rPr>
              <w:lastRenderedPageBreak/>
              <w:t>Response:</w:t>
            </w:r>
          </w:p>
          <w:p w14:paraId="052B0B28" w14:textId="77777777" w:rsidR="004F2D68" w:rsidRDefault="004F2D68">
            <w:pPr>
              <w:rPr>
                <w:szCs w:val="24"/>
              </w:rPr>
            </w:pPr>
          </w:p>
        </w:tc>
      </w:tr>
    </w:tbl>
    <w:p w14:paraId="40DE1A88" w14:textId="77777777" w:rsidR="004F2D68" w:rsidRDefault="004F2D68">
      <w:pPr>
        <w:spacing w:line="360" w:lineRule="auto"/>
        <w:jc w:val="both"/>
      </w:pPr>
    </w:p>
    <w:p w14:paraId="23AC9C3D" w14:textId="77777777" w:rsidR="004F2D68" w:rsidRDefault="004F2D68">
      <w:pPr>
        <w:spacing w:line="360" w:lineRule="auto"/>
        <w:jc w:val="both"/>
      </w:pPr>
    </w:p>
    <w:p w14:paraId="2FF298EB" w14:textId="3ADE5D6C" w:rsidR="004F2D68" w:rsidRDefault="008B2784">
      <w:pPr>
        <w:spacing w:line="360" w:lineRule="auto"/>
        <w:jc w:val="both"/>
        <w:rPr>
          <w:color w:val="00B050"/>
        </w:rPr>
      </w:pPr>
      <w:r>
        <w:t>c) Determine the minimum solvent flow rate on the basis of 100 kg/h of feed.</w:t>
      </w:r>
      <w:r>
        <w:tab/>
      </w:r>
      <w:r>
        <w:rPr>
          <w:b/>
        </w:rPr>
        <w:t xml:space="preserve">3 Marks </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F2D68" w14:paraId="08C31F60" w14:textId="77777777">
        <w:tc>
          <w:tcPr>
            <w:tcW w:w="9016" w:type="dxa"/>
          </w:tcPr>
          <w:p w14:paraId="08E13129" w14:textId="77777777" w:rsidR="004F2D68" w:rsidRDefault="008B2784">
            <w:pPr>
              <w:jc w:val="both"/>
              <w:rPr>
                <w:color w:val="FF0000"/>
                <w:szCs w:val="24"/>
              </w:rPr>
            </w:pPr>
            <w:r>
              <w:rPr>
                <w:color w:val="FF0000"/>
                <w:szCs w:val="24"/>
              </w:rPr>
              <w:t>Response:</w:t>
            </w:r>
          </w:p>
          <w:p w14:paraId="4227B7CE" w14:textId="77777777" w:rsidR="004F2D68" w:rsidRDefault="004F2D68">
            <w:pPr>
              <w:rPr>
                <w:szCs w:val="24"/>
              </w:rPr>
            </w:pPr>
          </w:p>
        </w:tc>
      </w:tr>
    </w:tbl>
    <w:p w14:paraId="40974891" w14:textId="77777777" w:rsidR="004F2D68" w:rsidRDefault="004F2D68">
      <w:pPr>
        <w:spacing w:line="360" w:lineRule="auto"/>
        <w:jc w:val="both"/>
      </w:pPr>
    </w:p>
    <w:p w14:paraId="06C7C057" w14:textId="7FB2BC44" w:rsidR="004F2D68" w:rsidRDefault="008B2784">
      <w:pPr>
        <w:spacing w:line="360" w:lineRule="auto"/>
        <w:jc w:val="both"/>
      </w:pPr>
      <w:r>
        <w:t>d) For an actual solvent flow rate times is twice larger than the minimum value, calculate all the terminal flow values and their compositions.</w:t>
      </w:r>
      <w:r>
        <w:tab/>
      </w:r>
      <w:r>
        <w:tab/>
      </w:r>
      <w:r>
        <w:tab/>
      </w:r>
      <w:r>
        <w:tab/>
      </w:r>
      <w:r>
        <w:tab/>
      </w:r>
      <w:r>
        <w:rPr>
          <w:b/>
        </w:rPr>
        <w:t>5 Marks</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F2D68" w14:paraId="3C5B0485" w14:textId="77777777">
        <w:tc>
          <w:tcPr>
            <w:tcW w:w="9016" w:type="dxa"/>
          </w:tcPr>
          <w:p w14:paraId="382A7F08" w14:textId="77777777" w:rsidR="004F2D68" w:rsidRDefault="008B2784">
            <w:pPr>
              <w:jc w:val="both"/>
              <w:rPr>
                <w:color w:val="FF0000"/>
                <w:szCs w:val="24"/>
              </w:rPr>
            </w:pPr>
            <w:r>
              <w:rPr>
                <w:color w:val="FF0000"/>
                <w:szCs w:val="24"/>
              </w:rPr>
              <w:t>Response:</w:t>
            </w:r>
          </w:p>
          <w:p w14:paraId="51581CF0" w14:textId="77777777" w:rsidR="004F2D68" w:rsidRDefault="004F2D68">
            <w:pPr>
              <w:rPr>
                <w:szCs w:val="24"/>
              </w:rPr>
            </w:pPr>
          </w:p>
        </w:tc>
      </w:tr>
    </w:tbl>
    <w:p w14:paraId="0AC93A49" w14:textId="77777777" w:rsidR="004F2D68" w:rsidRDefault="004F2D68"/>
    <w:p w14:paraId="64CDBF6F" w14:textId="5F7626AF" w:rsidR="004F2D68" w:rsidRDefault="008B2784">
      <w:pPr>
        <w:spacing w:line="360" w:lineRule="auto"/>
        <w:jc w:val="both"/>
        <w:rPr>
          <w:color w:val="00B050"/>
        </w:rPr>
      </w:pPr>
      <w:r>
        <w:t>e) Discuss the relative miscibility (i.e. partial miscible/completely miscible) of binary pairs of the three components in this question.</w:t>
      </w:r>
      <w:r>
        <w:tab/>
      </w:r>
      <w:r>
        <w:tab/>
      </w:r>
      <w:r>
        <w:tab/>
      </w:r>
      <w:r>
        <w:tab/>
      </w:r>
      <w:r>
        <w:tab/>
      </w:r>
      <w:r>
        <w:tab/>
      </w:r>
      <w:r>
        <w:rPr>
          <w:b/>
        </w:rPr>
        <w:t>2 Marks</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F2D68" w14:paraId="191D7B22" w14:textId="77777777">
        <w:tc>
          <w:tcPr>
            <w:tcW w:w="9016" w:type="dxa"/>
          </w:tcPr>
          <w:p w14:paraId="4435F903" w14:textId="77777777" w:rsidR="004F2D68" w:rsidRDefault="008B2784">
            <w:pPr>
              <w:jc w:val="both"/>
              <w:rPr>
                <w:color w:val="FF0000"/>
                <w:szCs w:val="24"/>
              </w:rPr>
            </w:pPr>
            <w:r>
              <w:rPr>
                <w:color w:val="FF0000"/>
                <w:szCs w:val="24"/>
              </w:rPr>
              <w:t>Response:</w:t>
            </w:r>
          </w:p>
          <w:p w14:paraId="659ED34F" w14:textId="77777777" w:rsidR="004F2D68" w:rsidRDefault="004F2D68">
            <w:pPr>
              <w:rPr>
                <w:szCs w:val="24"/>
              </w:rPr>
            </w:pPr>
          </w:p>
        </w:tc>
      </w:tr>
    </w:tbl>
    <w:p w14:paraId="1B097D61" w14:textId="77777777" w:rsidR="004F2D68" w:rsidRDefault="004F2D68"/>
    <w:p w14:paraId="561BA44A" w14:textId="77777777" w:rsidR="004F2D68" w:rsidRDefault="008B2784">
      <w:pPr>
        <w:spacing w:line="360" w:lineRule="auto"/>
        <w:jc w:val="both"/>
        <w:rPr>
          <w:b/>
          <w:u w:val="single"/>
        </w:rPr>
      </w:pPr>
      <w:bookmarkStart w:id="1" w:name="_heading=h.30j0zll" w:colFirst="0" w:colLast="0"/>
      <w:bookmarkEnd w:id="1"/>
      <w:r>
        <w:t>f) In your own words, write down the key steps to determine the number of equilibrium stages required to achieve the desired separation (200 words max).</w:t>
      </w:r>
      <w:r>
        <w:tab/>
      </w:r>
      <w:r>
        <w:tab/>
      </w:r>
      <w:r>
        <w:tab/>
      </w:r>
      <w:r>
        <w:tab/>
      </w:r>
      <w:r>
        <w:rPr>
          <w:b/>
        </w:rPr>
        <w:t>6 Marks</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F2D68" w14:paraId="09597C7A" w14:textId="77777777">
        <w:tc>
          <w:tcPr>
            <w:tcW w:w="9016" w:type="dxa"/>
          </w:tcPr>
          <w:p w14:paraId="7D7A919B" w14:textId="77777777" w:rsidR="004F2D68" w:rsidRDefault="008B2784">
            <w:pPr>
              <w:jc w:val="both"/>
              <w:rPr>
                <w:color w:val="FF0000"/>
                <w:szCs w:val="24"/>
              </w:rPr>
            </w:pPr>
            <w:r>
              <w:rPr>
                <w:color w:val="FF0000"/>
                <w:szCs w:val="24"/>
              </w:rPr>
              <w:t>Response:</w:t>
            </w:r>
          </w:p>
          <w:p w14:paraId="6230E8A2" w14:textId="77777777" w:rsidR="004F2D68" w:rsidRDefault="004F2D68">
            <w:pPr>
              <w:rPr>
                <w:szCs w:val="24"/>
              </w:rPr>
            </w:pPr>
          </w:p>
        </w:tc>
      </w:tr>
    </w:tbl>
    <w:p w14:paraId="4908FDD5" w14:textId="52B6E2D6" w:rsidR="004F2D68" w:rsidRDefault="004F2D68"/>
    <w:p w14:paraId="3B26A706" w14:textId="6F881AE5" w:rsidR="007701C3" w:rsidRPr="00BB03F3" w:rsidRDefault="007701C3" w:rsidP="007701C3">
      <w:pPr>
        <w:jc w:val="center"/>
        <w:rPr>
          <w:b/>
          <w:bCs/>
          <w:sz w:val="28"/>
          <w:szCs w:val="28"/>
        </w:rPr>
      </w:pPr>
      <w:r w:rsidRPr="00BB03F3">
        <w:rPr>
          <w:b/>
          <w:bCs/>
          <w:sz w:val="28"/>
          <w:szCs w:val="28"/>
        </w:rPr>
        <w:t xml:space="preserve">END OF </w:t>
      </w:r>
      <w:r>
        <w:rPr>
          <w:b/>
          <w:bCs/>
          <w:sz w:val="28"/>
          <w:szCs w:val="28"/>
        </w:rPr>
        <w:t>QUESTION BQ</w:t>
      </w:r>
      <w:r w:rsidR="00E41F0D">
        <w:rPr>
          <w:b/>
          <w:bCs/>
          <w:sz w:val="28"/>
          <w:szCs w:val="28"/>
        </w:rPr>
        <w:t>6</w:t>
      </w:r>
      <w:bookmarkStart w:id="2" w:name="_GoBack"/>
      <w:bookmarkEnd w:id="2"/>
      <w:r>
        <w:rPr>
          <w:b/>
          <w:bCs/>
          <w:sz w:val="28"/>
          <w:szCs w:val="28"/>
        </w:rPr>
        <w:t xml:space="preserve"> (Go to next page)</w:t>
      </w:r>
    </w:p>
    <w:p w14:paraId="4D290EB9" w14:textId="77777777" w:rsidR="007701C3" w:rsidRDefault="007701C3"/>
    <w:sectPr w:rsidR="007701C3">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AC3AB" w14:textId="77777777" w:rsidR="008B2784" w:rsidRDefault="008B2784" w:rsidP="008B2784">
      <w:pPr>
        <w:spacing w:after="0" w:line="240" w:lineRule="auto"/>
      </w:pPr>
      <w:r>
        <w:separator/>
      </w:r>
    </w:p>
  </w:endnote>
  <w:endnote w:type="continuationSeparator" w:id="0">
    <w:p w14:paraId="0796C8E3" w14:textId="77777777" w:rsidR="008B2784" w:rsidRDefault="008B2784" w:rsidP="008B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42DA3" w14:textId="1395A6C6" w:rsidR="008B2784" w:rsidRDefault="008B2784">
    <w:pPr>
      <w:pStyle w:val="Footer"/>
    </w:pPr>
    <w:r>
      <w:tab/>
    </w:r>
    <w:r>
      <w:tab/>
    </w:r>
    <w:r w:rsidRPr="00B23819">
      <w:t xml:space="preserve">Page </w:t>
    </w:r>
    <w:r>
      <w:fldChar w:fldCharType="begin"/>
    </w:r>
    <w:r>
      <w:instrText xml:space="preserve"> PAGE  </w:instrText>
    </w:r>
    <w:r>
      <w:fldChar w:fldCharType="separate"/>
    </w:r>
    <w:r>
      <w:t>1</w:t>
    </w:r>
    <w:r>
      <w:fldChar w:fldCharType="end"/>
    </w:r>
    <w:r w:rsidRPr="00B23819">
      <w:t xml:space="preserve"> of </w:t>
    </w:r>
    <w:r>
      <w:fldChar w:fldCharType="begin"/>
    </w:r>
    <w:r>
      <w:instrText xml:space="preserve"> NUMPAGES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75A8" w14:textId="77777777" w:rsidR="008B2784" w:rsidRDefault="008B2784" w:rsidP="008B2784">
      <w:pPr>
        <w:spacing w:after="0" w:line="240" w:lineRule="auto"/>
      </w:pPr>
      <w:r>
        <w:separator/>
      </w:r>
    </w:p>
  </w:footnote>
  <w:footnote w:type="continuationSeparator" w:id="0">
    <w:p w14:paraId="504A8AB3" w14:textId="77777777" w:rsidR="008B2784" w:rsidRDefault="008B2784" w:rsidP="008B2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68"/>
    <w:rsid w:val="004F2D68"/>
    <w:rsid w:val="007701C3"/>
    <w:rsid w:val="008B2784"/>
    <w:rsid w:val="00C96BF3"/>
    <w:rsid w:val="00E41F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5842"/>
  <w15:docId w15:val="{C35861E0-F35F-4611-9C83-1E8A5E04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01C3"/>
    <w:rPr>
      <w:rFonts w:asciiTheme="majorBidi" w:hAnsiTheme="majorBidi"/>
      <w:sz w:val="24"/>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4C21"/>
    <w:pPr>
      <w:ind w:left="720"/>
      <w:contextualSpacing/>
    </w:pPr>
  </w:style>
  <w:style w:type="table" w:styleId="TableGrid">
    <w:name w:val="Table Grid"/>
    <w:basedOn w:val="TableNormal"/>
    <w:uiPriority w:val="39"/>
    <w:rsid w:val="007E5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1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ED7"/>
    <w:rPr>
      <w:rFonts w:ascii="Segoe UI" w:hAnsi="Segoe UI" w:cs="Segoe UI"/>
      <w:sz w:val="18"/>
      <w:szCs w:val="18"/>
      <w:lang w:val="en-GB"/>
    </w:rPr>
  </w:style>
  <w:style w:type="character" w:styleId="PlaceholderText">
    <w:name w:val="Placeholder Text"/>
    <w:basedOn w:val="DefaultParagraphFont"/>
    <w:uiPriority w:val="99"/>
    <w:semiHidden/>
    <w:rsid w:val="001256A7"/>
    <w:rPr>
      <w:color w:val="808080"/>
    </w:rPr>
  </w:style>
  <w:style w:type="character" w:styleId="Hyperlink">
    <w:name w:val="Hyperlink"/>
    <w:basedOn w:val="DefaultParagraphFont"/>
    <w:uiPriority w:val="99"/>
    <w:unhideWhenUsed/>
    <w:rsid w:val="006C6036"/>
    <w:rPr>
      <w:color w:val="0563C1" w:themeColor="hyperlink"/>
      <w:u w:val="single"/>
    </w:rPr>
  </w:style>
  <w:style w:type="character" w:styleId="CommentReference">
    <w:name w:val="annotation reference"/>
    <w:basedOn w:val="DefaultParagraphFont"/>
    <w:uiPriority w:val="99"/>
    <w:semiHidden/>
    <w:unhideWhenUsed/>
    <w:rsid w:val="006C6036"/>
    <w:rPr>
      <w:sz w:val="16"/>
      <w:szCs w:val="16"/>
    </w:rPr>
  </w:style>
  <w:style w:type="paragraph" w:styleId="CommentText">
    <w:name w:val="annotation text"/>
    <w:basedOn w:val="Normal"/>
    <w:link w:val="CommentTextChar"/>
    <w:uiPriority w:val="99"/>
    <w:semiHidden/>
    <w:unhideWhenUsed/>
    <w:rsid w:val="006C6036"/>
    <w:pPr>
      <w:spacing w:line="240" w:lineRule="auto"/>
    </w:pPr>
    <w:rPr>
      <w:sz w:val="20"/>
      <w:szCs w:val="20"/>
    </w:rPr>
  </w:style>
  <w:style w:type="character" w:customStyle="1" w:styleId="CommentTextChar">
    <w:name w:val="Comment Text Char"/>
    <w:basedOn w:val="DefaultParagraphFont"/>
    <w:link w:val="CommentText"/>
    <w:uiPriority w:val="99"/>
    <w:semiHidden/>
    <w:rsid w:val="006C6036"/>
    <w:rPr>
      <w:sz w:val="20"/>
      <w:szCs w:val="20"/>
      <w:lang w:val="en-GB"/>
    </w:rPr>
  </w:style>
  <w:style w:type="paragraph" w:styleId="CommentSubject">
    <w:name w:val="annotation subject"/>
    <w:basedOn w:val="CommentText"/>
    <w:next w:val="CommentText"/>
    <w:link w:val="CommentSubjectChar"/>
    <w:uiPriority w:val="99"/>
    <w:semiHidden/>
    <w:unhideWhenUsed/>
    <w:rsid w:val="006C6036"/>
    <w:rPr>
      <w:b/>
      <w:bCs/>
    </w:rPr>
  </w:style>
  <w:style w:type="character" w:customStyle="1" w:styleId="CommentSubjectChar">
    <w:name w:val="Comment Subject Char"/>
    <w:basedOn w:val="CommentTextChar"/>
    <w:link w:val="CommentSubject"/>
    <w:uiPriority w:val="99"/>
    <w:semiHidden/>
    <w:rsid w:val="006C6036"/>
    <w:rPr>
      <w:b/>
      <w:bCs/>
      <w:sz w:val="20"/>
      <w:szCs w:val="20"/>
      <w:lang w:val="en-GB"/>
    </w:rPr>
  </w:style>
  <w:style w:type="paragraph" w:styleId="Revision">
    <w:name w:val="Revision"/>
    <w:hidden/>
    <w:uiPriority w:val="99"/>
    <w:semiHidden/>
    <w:rsid w:val="00576790"/>
    <w:pPr>
      <w:spacing w:after="0" w:line="240" w:lineRule="auto"/>
    </w:pPr>
    <w:rPr>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8B2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784"/>
    <w:rPr>
      <w:lang w:val="en-GB"/>
    </w:rPr>
  </w:style>
  <w:style w:type="paragraph" w:styleId="Footer">
    <w:name w:val="footer"/>
    <w:basedOn w:val="Normal"/>
    <w:link w:val="FooterChar"/>
    <w:uiPriority w:val="99"/>
    <w:unhideWhenUsed/>
    <w:rsid w:val="008B2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78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NK/RfC8jNxKSVy7NIHLB0OVaQ==">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Saman Ilankoon Mudiyanselage</dc:creator>
  <cp:lastModifiedBy>Akshat Tanksale</cp:lastModifiedBy>
  <cp:revision>5</cp:revision>
  <dcterms:created xsi:type="dcterms:W3CDTF">2020-05-24T03:56:00Z</dcterms:created>
  <dcterms:modified xsi:type="dcterms:W3CDTF">2020-06-05T03:30:00Z</dcterms:modified>
</cp:coreProperties>
</file>