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p>
    <w:p>
      <w:pPr>
        <w:jc w:val="center"/>
      </w:pPr>
      <w:r>
        <w:drawing>
          <wp:inline distT="0" distB="0" distL="0" distR="0">
            <wp:extent cx="209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095500"/>
                    </a:xfrm>
                    <a:prstGeom prst="rect">
                      <a:avLst/>
                    </a:prstGeom>
                  </pic:spPr>
                </pic:pic>
              </a:graphicData>
            </a:graphic>
          </wp:inline>
        </w:drawing>
      </w:r>
    </w:p>
    <w:p>
      <w:pPr>
        <w:pStyle w:val="Title"/>
        <w:spacing w:before="300"/>
        <w:jc w:val="center"/>
      </w:pPr>
      <w:r>
        <w:rPr>
          <w:rFonts w:ascii="Cambria" w:cs="Cambria" w:eastAsia="Cambria" w:hAnsi="Cambria"/>
          <w:b/>
          <w:bCs/>
          <w:color w:val="16233F"/>
          <w:sz w:val="56"/>
          <w:szCs w:val="56"/>
        </w:rPr>
        <w:t xml:space="preserve">[COMPANY NAME]</w:t>
      </w:r>
    </w:p>
    <w:p>
      <w:pPr>
        <w:jc w:val="center"/>
      </w:pPr>
      <w:r>
        <w:rPr>
          <w:rFonts w:ascii="Calibri" w:cs="Calibri" w:eastAsia="Calibri" w:hAnsi="Calibri"/>
          <w:color w:val="C89B3C"/>
          <w:spacing w:val="40"/>
          <w:sz w:val="28"/>
          <w:szCs w:val="28"/>
        </w:rPr>
        <w:t xml:space="preserve">BRAND GUIDELINES</w:t>
      </w:r>
    </w:p>
    <w:p>
      <w:pPr>
        <w:spacing w:before="800"/>
        <w:jc w:val="center"/>
      </w:pPr>
      <w:r>
        <w:rPr>
          <w:rFonts w:ascii="Calibri" w:cs="Calibri" w:eastAsia="Calibri" w:hAnsi="Calibri"/>
          <w:i/>
          <w:iCs/>
          <w:color w:val="4F6079"/>
          <w:sz w:val="20"/>
          <w:szCs w:val="20"/>
        </w:rPr>
        <w:t xml:space="preserve">Version 0.1 — Working Draft — July 2026</w:t>
      </w:r>
    </w:p>
    <w:p>
      <w:r>
        <w:br w:type="page"/>
      </w:r>
    </w:p>
    <w:p>
      <w:pPr>
        <w:pStyle w:val="Heading1"/>
        <w:spacing w:after="200" w:before="400"/>
      </w:pPr>
      <w:r>
        <w:t xml:space="preserve">About This Document</w:t>
      </w:r>
    </w:p>
    <w:p>
      <w:pPr>
        <w:spacing w:after="120"/>
      </w:pPr>
      <w:r>
        <w:rPr>
          <w:rFonts w:ascii="Calibri" w:cs="Calibri" w:eastAsia="Calibri" w:hAnsi="Calibri"/>
          <w:sz w:val="22"/>
          <w:szCs w:val="22"/>
        </w:rPr>
        <w:t xml:space="preserve">This is a working draft brand system built around a radial "millstone" mark — a circular, spoked motif chosen to be distinctive, scalable to a single-color favicon, and easy to reproduce on signage, print, and screen. Every placeholder in brackets — [COMPANY NAME], [Tagline Placeholder], contact details — should be replaced once the real name and copy are finalized; nothing here is final until you sign off on a primary mark.</w:t>
      </w:r>
    </w:p>
    <w:p>
      <w:pPr>
        <w:spacing w:after="120"/>
      </w:pPr>
      <w:r>
        <w:rPr>
          <w:rFonts w:ascii="Calibri" w:cs="Calibri" w:eastAsia="Calibri" w:hAnsi="Calibri"/>
          <w:sz w:val="22"/>
          <w:szCs w:val="22"/>
        </w:rPr>
        <w:t xml:space="preserve">This draft carries over the exact color palette and typography already established for the presentation template and icon library, so all brand materials stay visually consistent across decks, documents, and this identity system.</w:t>
      </w:r>
    </w:p>
    <w:p>
      <w:r>
        <w:br w:type="page"/>
      </w:r>
    </w:p>
    <w:p>
      <w:pPr>
        <w:pStyle w:val="Heading1"/>
        <w:spacing w:after="200" w:before="400"/>
      </w:pPr>
      <w:r>
        <w:t xml:space="preserve">Color Palette</w:t>
      </w:r>
    </w:p>
    <w:p>
      <w:pPr>
        <w:spacing w:after="120"/>
      </w:pPr>
      <w:r>
        <w:rPr>
          <w:rFonts w:ascii="Calibri" w:cs="Calibri" w:eastAsia="Calibri" w:hAnsi="Calibri"/>
          <w:sz w:val="22"/>
          <w:szCs w:val="22"/>
        </w:rPr>
        <w:t xml:space="preserve">Two coordinated palettes — one tuned for light/white backgrounds, one for dark navy backgrounds — carried directly from the presentation template and icon library already in use.</w:t>
      </w:r>
    </w:p>
    <w:p>
      <w:pPr>
        <w:pStyle w:val="Heading2"/>
        <w:spacing w:after="150" w:before="300"/>
      </w:pPr>
      <w:r>
        <w:t xml:space="preserve">Light Theme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4000"/>
      </w:tblGrid>
      <w:tr>
        <w:trPr>
          <w:tblHeader/>
        </w:trPr>
        <w:tc>
          <w:tcPr>
            <w:tcW w:type="dxa" w:w="1600"/>
            <w:shd w:fill="16233F" w:color="auto" w:val="clear"/>
          </w:tcPr>
          <w:p>
            <w:r>
              <w:rPr>
                <w:rFonts w:ascii="Calibri" w:cs="Calibri" w:eastAsia="Calibri" w:hAnsi="Calibri"/>
                <w:b/>
                <w:bCs/>
                <w:color w:val="FFFFFF"/>
                <w:sz w:val="20"/>
                <w:szCs w:val="20"/>
              </w:rPr>
              <w:t xml:space="preserve">Swatch</w:t>
            </w:r>
          </w:p>
        </w:tc>
        <w:tc>
          <w:tcPr>
            <w:tcW w:type="dxa" w:w="2400"/>
            <w:shd w:fill="16233F" w:color="auto" w:val="clear"/>
          </w:tcPr>
          <w:p>
            <w:r>
              <w:rPr>
                <w:rFonts w:ascii="Calibri" w:cs="Calibri" w:eastAsia="Calibri" w:hAnsi="Calibri"/>
                <w:b/>
                <w:bCs/>
                <w:color w:val="FFFFFF"/>
                <w:sz w:val="20"/>
                <w:szCs w:val="20"/>
              </w:rPr>
              <w:t xml:space="preserve">Name</w:t>
            </w:r>
          </w:p>
        </w:tc>
        <w:tc>
          <w:tcPr>
            <w:tcW w:type="dxa" w:w="2200"/>
            <w:shd w:fill="16233F" w:color="auto" w:val="clear"/>
          </w:tcPr>
          <w:p>
            <w:r>
              <w:rPr>
                <w:rFonts w:ascii="Calibri" w:cs="Calibri" w:eastAsia="Calibri" w:hAnsi="Calibri"/>
                <w:b/>
                <w:bCs/>
                <w:color w:val="FFFFFF"/>
                <w:sz w:val="20"/>
                <w:szCs w:val="20"/>
              </w:rPr>
              <w:t xml:space="preserve">Hex</w:t>
            </w:r>
          </w:p>
        </w:tc>
        <w:tc>
          <w:tcPr>
            <w:tcW w:type="dxa" w:w="4000"/>
            <w:shd w:fill="16233F" w:color="auto" w:val="clear"/>
          </w:tcPr>
          <w:p>
            <w:r>
              <w:rPr>
                <w:rFonts w:ascii="Calibri" w:cs="Calibri" w:eastAsia="Calibri" w:hAnsi="Calibri"/>
                <w:b/>
                <w:bCs/>
                <w:color w:val="FFFFFF"/>
                <w:sz w:val="20"/>
                <w:szCs w:val="20"/>
              </w:rPr>
              <w:t xml:space="preserve">Usage</w:t>
            </w:r>
          </w:p>
        </w:tc>
      </w:tr>
      <w:tr>
        <w:tc>
          <w:tcPr>
            <w:tcW w:type="dxa" w:w="1600"/>
            <w:shd w:fill="FFFFFF" w:color="auto" w:val="clear"/>
          </w:tcPr>
          <w:p/>
        </w:tc>
        <w:tc>
          <w:tcPr>
            <w:tcW w:type="dxa" w:w="2400"/>
          </w:tcPr>
          <w:p>
            <w:r>
              <w:rPr>
                <w:rFonts w:ascii="Calibri" w:cs="Calibri" w:eastAsia="Calibri" w:hAnsi="Calibri"/>
                <w:b/>
                <w:bCs/>
                <w:sz w:val="20"/>
                <w:szCs w:val="20"/>
              </w:rPr>
              <w:t xml:space="preserve">Background</w:t>
            </w:r>
          </w:p>
        </w:tc>
        <w:tc>
          <w:tcPr>
            <w:tcW w:type="dxa" w:w="2200"/>
          </w:tcPr>
          <w:p>
            <w:r>
              <w:rPr>
                <w:rFonts w:ascii="Consolas" w:cs="Consolas" w:eastAsia="Consolas" w:hAnsi="Consolas"/>
                <w:sz w:val="20"/>
                <w:szCs w:val="20"/>
              </w:rPr>
              <w:t xml:space="preserve">#FFFFFF</w:t>
            </w:r>
          </w:p>
        </w:tc>
        <w:tc>
          <w:tcPr>
            <w:tcW w:type="dxa" w:w="4000"/>
          </w:tcPr>
          <w:p>
            <w:r>
              <w:rPr>
                <w:rFonts w:ascii="Calibri" w:cs="Calibri" w:eastAsia="Calibri" w:hAnsi="Calibri"/>
                <w:sz w:val="20"/>
                <w:szCs w:val="20"/>
              </w:rPr>
              <w:t xml:space="preserve">Page and slide background, white space</w:t>
            </w:r>
          </w:p>
        </w:tc>
      </w:tr>
      <w:tr>
        <w:tc>
          <w:tcPr>
            <w:tcW w:type="dxa" w:w="1600"/>
            <w:shd w:fill="16233F" w:color="auto" w:val="clear"/>
          </w:tcPr>
          <w:p/>
        </w:tc>
        <w:tc>
          <w:tcPr>
            <w:tcW w:type="dxa" w:w="2400"/>
          </w:tcPr>
          <w:p>
            <w:r>
              <w:rPr>
                <w:rFonts w:ascii="Calibri" w:cs="Calibri" w:eastAsia="Calibri" w:hAnsi="Calibri"/>
                <w:b/>
                <w:bCs/>
                <w:sz w:val="20"/>
                <w:szCs w:val="20"/>
              </w:rPr>
              <w:t xml:space="preserve">Navy (primary)</w:t>
            </w:r>
          </w:p>
        </w:tc>
        <w:tc>
          <w:tcPr>
            <w:tcW w:type="dxa" w:w="2200"/>
          </w:tcPr>
          <w:p>
            <w:r>
              <w:rPr>
                <w:rFonts w:ascii="Consolas" w:cs="Consolas" w:eastAsia="Consolas" w:hAnsi="Consolas"/>
                <w:sz w:val="20"/>
                <w:szCs w:val="20"/>
              </w:rPr>
              <w:t xml:space="preserve">#16233F</w:t>
            </w:r>
          </w:p>
        </w:tc>
        <w:tc>
          <w:tcPr>
            <w:tcW w:type="dxa" w:w="4000"/>
          </w:tcPr>
          <w:p>
            <w:r>
              <w:rPr>
                <w:rFonts w:ascii="Calibri" w:cs="Calibri" w:eastAsia="Calibri" w:hAnsi="Calibri"/>
                <w:sz w:val="20"/>
                <w:szCs w:val="20"/>
              </w:rPr>
              <w:t xml:space="preserve">Primary mark color, headings, body text on light backgrounds</w:t>
            </w:r>
          </w:p>
        </w:tc>
      </w:tr>
      <w:tr>
        <w:tc>
          <w:tcPr>
            <w:tcW w:type="dxa" w:w="1600"/>
            <w:shd w:fill="4F6079" w:color="auto" w:val="clear"/>
          </w:tcPr>
          <w:p/>
        </w:tc>
        <w:tc>
          <w:tcPr>
            <w:tcW w:type="dxa" w:w="2400"/>
          </w:tcPr>
          <w:p>
            <w:r>
              <w:rPr>
                <w:rFonts w:ascii="Calibri" w:cs="Calibri" w:eastAsia="Calibri" w:hAnsi="Calibri"/>
                <w:b/>
                <w:bCs/>
                <w:sz w:val="20"/>
                <w:szCs w:val="20"/>
              </w:rPr>
              <w:t xml:space="preserve">Slate (secondary)</w:t>
            </w:r>
          </w:p>
        </w:tc>
        <w:tc>
          <w:tcPr>
            <w:tcW w:type="dxa" w:w="2200"/>
          </w:tcPr>
          <w:p>
            <w:r>
              <w:rPr>
                <w:rFonts w:ascii="Consolas" w:cs="Consolas" w:eastAsia="Consolas" w:hAnsi="Consolas"/>
                <w:sz w:val="20"/>
                <w:szCs w:val="20"/>
              </w:rPr>
              <w:t xml:space="preserve">#4F6079</w:t>
            </w:r>
          </w:p>
        </w:tc>
        <w:tc>
          <w:tcPr>
            <w:tcW w:type="dxa" w:w="4000"/>
          </w:tcPr>
          <w:p>
            <w:r>
              <w:rPr>
                <w:rFonts w:ascii="Calibri" w:cs="Calibri" w:eastAsia="Calibri" w:hAnsi="Calibri"/>
                <w:sz w:val="20"/>
                <w:szCs w:val="20"/>
              </w:rPr>
              <w:t xml:space="preserve">Secondary text, captions, supporting graphics</w:t>
            </w:r>
          </w:p>
        </w:tc>
      </w:tr>
      <w:tr>
        <w:tc>
          <w:tcPr>
            <w:tcW w:type="dxa" w:w="1600"/>
            <w:shd w:fill="C89B3C" w:color="auto" w:val="clear"/>
          </w:tcPr>
          <w:p/>
        </w:tc>
        <w:tc>
          <w:tcPr>
            <w:tcW w:type="dxa" w:w="2400"/>
          </w:tcPr>
          <w:p>
            <w:r>
              <w:rPr>
                <w:rFonts w:ascii="Calibri" w:cs="Calibri" w:eastAsia="Calibri" w:hAnsi="Calibri"/>
                <w:b/>
                <w:bCs/>
                <w:sz w:val="20"/>
                <w:szCs w:val="20"/>
              </w:rPr>
              <w:t xml:space="preserve">Gold (accent)</w:t>
            </w:r>
          </w:p>
        </w:tc>
        <w:tc>
          <w:tcPr>
            <w:tcW w:type="dxa" w:w="2200"/>
          </w:tcPr>
          <w:p>
            <w:r>
              <w:rPr>
                <w:rFonts w:ascii="Consolas" w:cs="Consolas" w:eastAsia="Consolas" w:hAnsi="Consolas"/>
                <w:sz w:val="20"/>
                <w:szCs w:val="20"/>
              </w:rPr>
              <w:t xml:space="preserve">#C89B3C</w:t>
            </w:r>
          </w:p>
        </w:tc>
        <w:tc>
          <w:tcPr>
            <w:tcW w:type="dxa" w:w="4000"/>
          </w:tcPr>
          <w:p>
            <w:r>
              <w:rPr>
                <w:rFonts w:ascii="Calibri" w:cs="Calibri" w:eastAsia="Calibri" w:hAnsi="Calibri"/>
                <w:sz w:val="20"/>
                <w:szCs w:val="20"/>
              </w:rPr>
              <w:t xml:space="preserve">Single accent — taglines, dividers, callouts. Use sparingly.</w:t>
            </w:r>
          </w:p>
        </w:tc>
      </w:tr>
    </w:tbl>
    <w:p>
      <w:pPr>
        <w:spacing w:after="200"/>
      </w:pPr>
    </w:p>
    <w:p>
      <w:pPr>
        <w:pStyle w:val="Heading2"/>
        <w:spacing w:after="150" w:before="300"/>
      </w:pPr>
      <w:r>
        <w:t xml:space="preserve">Dark Theme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4000"/>
      </w:tblGrid>
      <w:tr>
        <w:trPr>
          <w:tblHeader/>
        </w:trPr>
        <w:tc>
          <w:tcPr>
            <w:tcW w:type="dxa" w:w="1600"/>
            <w:shd w:fill="16233F" w:color="auto" w:val="clear"/>
          </w:tcPr>
          <w:p>
            <w:r>
              <w:rPr>
                <w:rFonts w:ascii="Calibri" w:cs="Calibri" w:eastAsia="Calibri" w:hAnsi="Calibri"/>
                <w:b/>
                <w:bCs/>
                <w:color w:val="FFFFFF"/>
                <w:sz w:val="20"/>
                <w:szCs w:val="20"/>
              </w:rPr>
              <w:t xml:space="preserve">Swatch</w:t>
            </w:r>
          </w:p>
        </w:tc>
        <w:tc>
          <w:tcPr>
            <w:tcW w:type="dxa" w:w="2400"/>
            <w:shd w:fill="16233F" w:color="auto" w:val="clear"/>
          </w:tcPr>
          <w:p>
            <w:r>
              <w:rPr>
                <w:rFonts w:ascii="Calibri" w:cs="Calibri" w:eastAsia="Calibri" w:hAnsi="Calibri"/>
                <w:b/>
                <w:bCs/>
                <w:color w:val="FFFFFF"/>
                <w:sz w:val="20"/>
                <w:szCs w:val="20"/>
              </w:rPr>
              <w:t xml:space="preserve">Name</w:t>
            </w:r>
          </w:p>
        </w:tc>
        <w:tc>
          <w:tcPr>
            <w:tcW w:type="dxa" w:w="2200"/>
            <w:shd w:fill="16233F" w:color="auto" w:val="clear"/>
          </w:tcPr>
          <w:p>
            <w:r>
              <w:rPr>
                <w:rFonts w:ascii="Calibri" w:cs="Calibri" w:eastAsia="Calibri" w:hAnsi="Calibri"/>
                <w:b/>
                <w:bCs/>
                <w:color w:val="FFFFFF"/>
                <w:sz w:val="20"/>
                <w:szCs w:val="20"/>
              </w:rPr>
              <w:t xml:space="preserve">Hex</w:t>
            </w:r>
          </w:p>
        </w:tc>
        <w:tc>
          <w:tcPr>
            <w:tcW w:type="dxa" w:w="4000"/>
            <w:shd w:fill="16233F" w:color="auto" w:val="clear"/>
          </w:tcPr>
          <w:p>
            <w:r>
              <w:rPr>
                <w:rFonts w:ascii="Calibri" w:cs="Calibri" w:eastAsia="Calibri" w:hAnsi="Calibri"/>
                <w:b/>
                <w:bCs/>
                <w:color w:val="FFFFFF"/>
                <w:sz w:val="20"/>
                <w:szCs w:val="20"/>
              </w:rPr>
              <w:t xml:space="preserve">Usage</w:t>
            </w:r>
          </w:p>
        </w:tc>
      </w:tr>
      <w:tr>
        <w:tc>
          <w:tcPr>
            <w:tcW w:type="dxa" w:w="1600"/>
            <w:shd w:fill="10162B" w:color="auto" w:val="clear"/>
          </w:tcPr>
          <w:p/>
        </w:tc>
        <w:tc>
          <w:tcPr>
            <w:tcW w:type="dxa" w:w="2400"/>
          </w:tcPr>
          <w:p>
            <w:r>
              <w:rPr>
                <w:rFonts w:ascii="Calibri" w:cs="Calibri" w:eastAsia="Calibri" w:hAnsi="Calibri"/>
                <w:b/>
                <w:bCs/>
                <w:sz w:val="20"/>
                <w:szCs w:val="20"/>
              </w:rPr>
              <w:t xml:space="preserve">Background</w:t>
            </w:r>
          </w:p>
        </w:tc>
        <w:tc>
          <w:tcPr>
            <w:tcW w:type="dxa" w:w="2200"/>
          </w:tcPr>
          <w:p>
            <w:r>
              <w:rPr>
                <w:rFonts w:ascii="Consolas" w:cs="Consolas" w:eastAsia="Consolas" w:hAnsi="Consolas"/>
                <w:sz w:val="20"/>
                <w:szCs w:val="20"/>
              </w:rPr>
              <w:t xml:space="preserve">#10162B</w:t>
            </w:r>
          </w:p>
        </w:tc>
        <w:tc>
          <w:tcPr>
            <w:tcW w:type="dxa" w:w="4000"/>
          </w:tcPr>
          <w:p>
            <w:r>
              <w:rPr>
                <w:rFonts w:ascii="Calibri" w:cs="Calibri" w:eastAsia="Calibri" w:hAnsi="Calibri"/>
                <w:sz w:val="20"/>
                <w:szCs w:val="20"/>
              </w:rPr>
              <w:t xml:space="preserve">Dark working background</w:t>
            </w:r>
          </w:p>
        </w:tc>
      </w:tr>
      <w:tr>
        <w:tc>
          <w:tcPr>
            <w:tcW w:type="dxa" w:w="1600"/>
            <w:shd w:fill="0B1022" w:color="auto" w:val="clear"/>
          </w:tcPr>
          <w:p/>
        </w:tc>
        <w:tc>
          <w:tcPr>
            <w:tcW w:type="dxa" w:w="2400"/>
          </w:tcPr>
          <w:p>
            <w:r>
              <w:rPr>
                <w:rFonts w:ascii="Calibri" w:cs="Calibri" w:eastAsia="Calibri" w:hAnsi="Calibri"/>
                <w:b/>
                <w:bCs/>
                <w:sz w:val="20"/>
                <w:szCs w:val="20"/>
              </w:rPr>
              <w:t xml:space="preserve">Navy block</w:t>
            </w:r>
          </w:p>
        </w:tc>
        <w:tc>
          <w:tcPr>
            <w:tcW w:type="dxa" w:w="2200"/>
          </w:tcPr>
          <w:p>
            <w:r>
              <w:rPr>
                <w:rFonts w:ascii="Consolas" w:cs="Consolas" w:eastAsia="Consolas" w:hAnsi="Consolas"/>
                <w:sz w:val="20"/>
                <w:szCs w:val="20"/>
              </w:rPr>
              <w:t xml:space="preserve">#0B1022</w:t>
            </w:r>
          </w:p>
        </w:tc>
        <w:tc>
          <w:tcPr>
            <w:tcW w:type="dxa" w:w="4000"/>
          </w:tcPr>
          <w:p>
            <w:r>
              <w:rPr>
                <w:rFonts w:ascii="Calibri" w:cs="Calibri" w:eastAsia="Calibri" w:hAnsi="Calibri"/>
                <w:sz w:val="20"/>
                <w:szCs w:val="20"/>
              </w:rPr>
              <w:t xml:space="preserve">Deep panel fills, bookend/cover slides</w:t>
            </w:r>
          </w:p>
        </w:tc>
      </w:tr>
      <w:tr>
        <w:tc>
          <w:tcPr>
            <w:tcW w:type="dxa" w:w="1600"/>
            <w:shd w:fill="8DA0C2" w:color="auto" w:val="clear"/>
          </w:tcPr>
          <w:p/>
        </w:tc>
        <w:tc>
          <w:tcPr>
            <w:tcW w:type="dxa" w:w="2400"/>
          </w:tcPr>
          <w:p>
            <w:r>
              <w:rPr>
                <w:rFonts w:ascii="Calibri" w:cs="Calibri" w:eastAsia="Calibri" w:hAnsi="Calibri"/>
                <w:b/>
                <w:bCs/>
                <w:sz w:val="20"/>
                <w:szCs w:val="20"/>
              </w:rPr>
              <w:t xml:space="preserve">Slate (mark on dark)</w:t>
            </w:r>
          </w:p>
        </w:tc>
        <w:tc>
          <w:tcPr>
            <w:tcW w:type="dxa" w:w="2200"/>
          </w:tcPr>
          <w:p>
            <w:r>
              <w:rPr>
                <w:rFonts w:ascii="Consolas" w:cs="Consolas" w:eastAsia="Consolas" w:hAnsi="Consolas"/>
                <w:sz w:val="20"/>
                <w:szCs w:val="20"/>
              </w:rPr>
              <w:t xml:space="preserve">#8DA0C2</w:t>
            </w:r>
          </w:p>
        </w:tc>
        <w:tc>
          <w:tcPr>
            <w:tcW w:type="dxa" w:w="4000"/>
          </w:tcPr>
          <w:p>
            <w:r>
              <w:rPr>
                <w:rFonts w:ascii="Calibri" w:cs="Calibri" w:eastAsia="Calibri" w:hAnsi="Calibri"/>
                <w:sz w:val="20"/>
                <w:szCs w:val="20"/>
              </w:rPr>
              <w:t xml:space="preserve">Primary mark color and body text on dark backgrounds</w:t>
            </w:r>
          </w:p>
        </w:tc>
      </w:tr>
      <w:tr>
        <w:tc>
          <w:tcPr>
            <w:tcW w:type="dxa" w:w="1600"/>
            <w:shd w:fill="D4AF5A" w:color="auto" w:val="clear"/>
          </w:tcPr>
          <w:p/>
        </w:tc>
        <w:tc>
          <w:tcPr>
            <w:tcW w:type="dxa" w:w="2400"/>
          </w:tcPr>
          <w:p>
            <w:r>
              <w:rPr>
                <w:rFonts w:ascii="Calibri" w:cs="Calibri" w:eastAsia="Calibri" w:hAnsi="Calibri"/>
                <w:b/>
                <w:bCs/>
                <w:sz w:val="20"/>
                <w:szCs w:val="20"/>
              </w:rPr>
              <w:t xml:space="preserve">Gold (accent)</w:t>
            </w:r>
          </w:p>
        </w:tc>
        <w:tc>
          <w:tcPr>
            <w:tcW w:type="dxa" w:w="2200"/>
          </w:tcPr>
          <w:p>
            <w:r>
              <w:rPr>
                <w:rFonts w:ascii="Consolas" w:cs="Consolas" w:eastAsia="Consolas" w:hAnsi="Consolas"/>
                <w:sz w:val="20"/>
                <w:szCs w:val="20"/>
              </w:rPr>
              <w:t xml:space="preserve">#D4AF5A</w:t>
            </w:r>
          </w:p>
        </w:tc>
        <w:tc>
          <w:tcPr>
            <w:tcW w:type="dxa" w:w="4000"/>
          </w:tcPr>
          <w:p>
            <w:r>
              <w:rPr>
                <w:rFonts w:ascii="Calibri" w:cs="Calibri" w:eastAsia="Calibri" w:hAnsi="Calibri"/>
                <w:sz w:val="20"/>
                <w:szCs w:val="20"/>
              </w:rPr>
              <w:t xml:space="preserve">Same role as light theme — single accent, brightened for contrast on navy</w:t>
            </w:r>
          </w:p>
        </w:tc>
      </w:tr>
    </w:tbl>
    <w:p>
      <w:pPr>
        <w:spacing w:after="120"/>
      </w:pPr>
      <w:r>
        <w:rPr>
          <w:rFonts w:ascii="Calibri" w:cs="Calibri" w:eastAsia="Calibri" w:hAnsi="Calibri"/>
          <w:i/>
          <w:iCs/>
          <w:color w:val="4F6079"/>
          <w:sz w:val="22"/>
          <w:szCs w:val="22"/>
        </w:rPr>
        <w:t xml:space="preserve">Rule of thumb: gold is a single accent, never a dominant fill. Navy/slate carry the weight of the mark and text; gold marks taglines, dividers, and the one thing on a page you want the eye drawn to.</w:t>
      </w:r>
    </w:p>
    <w:p>
      <w:r>
        <w:br w:type="page"/>
      </w:r>
    </w:p>
    <w:p>
      <w:pPr>
        <w:pStyle w:val="Heading1"/>
        <w:spacing w:after="200" w:before="400"/>
      </w:pPr>
      <w:r>
        <w:t xml:space="preserve">Typography</w:t>
      </w:r>
    </w:p>
    <w:p>
      <w:pPr>
        <w:spacing w:after="120"/>
      </w:pPr>
      <w:r>
        <w:rPr>
          <w:rFonts w:ascii="Calibri" w:cs="Calibri" w:eastAsia="Calibri" w:hAnsi="Calibri"/>
          <w:sz w:val="22"/>
          <w:szCs w:val="22"/>
        </w:rPr>
        <w:t xml:space="preserve">Both fonts ship standard with Microsoft Office, so text renders identically on any machine without installing anything.</w:t>
      </w:r>
    </w:p>
    <w:p>
      <w:pPr>
        <w:pStyle w:val="Heading2"/>
        <w:spacing w:after="150" w:before="300"/>
      </w:pPr>
      <w:r>
        <w:t xml:space="preserve">Cambria — Headings &amp; Wordmark</w:t>
      </w:r>
    </w:p>
    <w:p>
      <w:r>
        <w:rPr>
          <w:rFonts w:ascii="Cambria" w:cs="Cambria" w:eastAsia="Cambria" w:hAnsi="Cambria"/>
          <w:color w:val="16233F"/>
          <w:sz w:val="32"/>
          <w:szCs w:val="32"/>
        </w:rPr>
        <w:t xml:space="preserve">The quick brown fox jumps over the lazy dog</w:t>
      </w:r>
    </w:p>
    <w:p>
      <w:pPr>
        <w:spacing w:after="200"/>
      </w:pPr>
      <w:r>
        <w:rPr>
          <w:rFonts w:ascii="Cambria" w:cs="Cambria" w:eastAsia="Cambria" w:hAnsi="Cambria"/>
          <w:color w:val="4F6079"/>
          <w:sz w:val="22"/>
          <w:szCs w:val="22"/>
        </w:rPr>
        <w:t xml:space="preserve">ABCDEFGHIJKLM · abcdefghijklm · 0123456789</w:t>
      </w:r>
    </w:p>
    <w:p>
      <w:pPr>
        <w:pStyle w:val="Heading2"/>
        <w:spacing w:after="150" w:before="300"/>
      </w:pPr>
      <w:r>
        <w:t xml:space="preserve">Calibri — Body &amp; Captions</w:t>
      </w:r>
    </w:p>
    <w:p>
      <w:r>
        <w:rPr>
          <w:rFonts w:ascii="Calibri" w:cs="Calibri" w:eastAsia="Calibri" w:hAnsi="Calibri"/>
          <w:color w:val="16233F"/>
          <w:sz w:val="26"/>
          <w:szCs w:val="26"/>
        </w:rPr>
        <w:t xml:space="preserve">The quick brown fox jumps over the lazy dog</w:t>
      </w:r>
    </w:p>
    <w:p>
      <w:pPr>
        <w:spacing w:after="200"/>
      </w:pPr>
      <w:r>
        <w:rPr>
          <w:rFonts w:ascii="Calibri" w:cs="Calibri" w:eastAsia="Calibri" w:hAnsi="Calibri"/>
          <w:color w:val="4F6079"/>
          <w:sz w:val="22"/>
          <w:szCs w:val="22"/>
        </w:rPr>
        <w:t xml:space="preserve">ABCDEFGHIJKLM · abcdefghijklm · 0123456789</w:t>
      </w:r>
    </w:p>
    <w:p>
      <w:pPr>
        <w:spacing w:after="120"/>
      </w:pPr>
      <w:r>
        <w:rPr>
          <w:rFonts w:ascii="Calibri" w:cs="Calibri" w:eastAsia="Calibri" w:hAnsi="Calibri"/>
          <w:i/>
          <w:iCs/>
          <w:color w:val="4F6079"/>
          <w:sz w:val="22"/>
          <w:szCs w:val="22"/>
        </w:rPr>
        <w:t xml:space="preserve">Note on this draft's preview images: the logo concept renders and mockups on the following pages were generated in an environment without Cambria/Calibri installed, so their wordmark text is drawn in metric-compatible substitutes (Liberation Serif/Sans). The actual .docx and .pptx source files below correctly reference Cambria/Calibri and will render properly in Word/PowerPoint.</w:t>
      </w:r>
    </w:p>
    <w:p>
      <w:r>
        <w:br w:type="page"/>
      </w:r>
    </w:p>
    <w:p>
      <w:pPr>
        <w:pStyle w:val="Heading1"/>
        <w:spacing w:after="200" w:before="400"/>
      </w:pPr>
      <w:r>
        <w:t xml:space="preserve">Primary Mark &amp; Usage Rules</w:t>
      </w:r>
    </w:p>
    <w:p>
      <w:pPr>
        <w:spacing w:after="120"/>
      </w:pPr>
      <w:r>
        <w:rPr>
          <w:rFonts w:ascii="Calibri" w:cs="Calibri" w:eastAsia="Calibri" w:hAnsi="Calibri"/>
          <w:sz w:val="22"/>
          <w:szCs w:val="22"/>
        </w:rPr>
        <w:t xml:space="preserve">The recommended starting point is Concept 2 (page 6) — an 8-blade combination lockup — for general use: business cards, letterhead, email signatures, and slide decks. Concept 1 (dense 9-blade) is built as a standalone icon for favicons and app icons where the wordmark won't appear. Review all six on the following pages and tell me which to carry forward — the rest are provided as alternates or for A/B use across sub-brands or product lines.</w:t>
      </w:r>
    </w:p>
    <w:p>
      <w:pPr>
        <w:pStyle w:val="Heading2"/>
        <w:spacing w:after="150" w:before="300"/>
      </w:pPr>
      <w:r>
        <w:t xml:space="preserve">Clear Space</w:t>
      </w:r>
    </w:p>
    <w:p>
      <w:pPr>
        <w:spacing w:after="120"/>
      </w:pPr>
      <w:r>
        <w:rPr>
          <w:rFonts w:ascii="Calibri" w:cs="Calibri" w:eastAsia="Calibri" w:hAnsi="Calibri"/>
          <w:sz w:val="22"/>
          <w:szCs w:val="22"/>
        </w:rPr>
        <w:t xml:space="preserve">Keep clear space around the mark equal to at least the radius of its center hub circle on all sides — no text, edges, or other graphics inside that margin.</w:t>
      </w:r>
    </w:p>
    <w:p>
      <w:pPr>
        <w:pStyle w:val="Heading2"/>
        <w:spacing w:after="150" w:before="300"/>
      </w:pPr>
      <w:r>
        <w:t xml:space="preserve">Minimum Size</w:t>
      </w:r>
    </w:p>
    <w:p>
      <w:pPr>
        <w:pStyle w:val="ListParagraph"/>
        <w:numPr>
          <w:ilvl w:val="0"/>
          <w:numId w:val="1"/>
        </w:numPr>
        <w:spacing w:after="60"/>
      </w:pPr>
      <w:r>
        <w:rPr>
          <w:rFonts w:ascii="Calibri" w:cs="Calibri" w:eastAsia="Calibri" w:hAnsi="Calibri"/>
          <w:sz w:val="22"/>
          <w:szCs w:val="22"/>
        </w:rPr>
        <w:t xml:space="preserve">Digital: no smaller than 24px for the icon-only mark (favicon-safe).</w:t>
      </w:r>
    </w:p>
    <w:p>
      <w:pPr>
        <w:pStyle w:val="ListParagraph"/>
        <w:numPr>
          <w:ilvl w:val="0"/>
          <w:numId w:val="1"/>
        </w:numPr>
        <w:spacing w:after="60"/>
      </w:pPr>
      <w:r>
        <w:rPr>
          <w:rFonts w:ascii="Calibri" w:cs="Calibri" w:eastAsia="Calibri" w:hAnsi="Calibri"/>
          <w:sz w:val="22"/>
          <w:szCs w:val="22"/>
        </w:rPr>
        <w:t xml:space="preserve">Print: no smaller than 0.4in / 10mm for the icon-only mark; 1.25in wide for the combination lockup.</w:t>
      </w:r>
    </w:p>
    <w:p>
      <w:pPr>
        <w:pStyle w:val="Heading2"/>
        <w:spacing w:after="150" w:before="300"/>
      </w:pPr>
      <w:r>
        <w:t xml:space="preserve">Do</w:t>
      </w:r>
    </w:p>
    <w:p>
      <w:pPr>
        <w:pStyle w:val="ListParagraph"/>
        <w:numPr>
          <w:ilvl w:val="0"/>
          <w:numId w:val="1"/>
        </w:numPr>
        <w:spacing w:after="60"/>
      </w:pPr>
      <w:r>
        <w:rPr>
          <w:rFonts w:ascii="Calibri" w:cs="Calibri" w:eastAsia="Calibri" w:hAnsi="Calibri"/>
          <w:sz w:val="22"/>
          <w:szCs w:val="22"/>
        </w:rPr>
        <w:t xml:space="preserve">Use the mark at 100% opacity in navy (light backgrounds) or slate (dark backgrounds).</w:t>
      </w:r>
    </w:p>
    <w:p>
      <w:pPr>
        <w:pStyle w:val="ListParagraph"/>
        <w:numPr>
          <w:ilvl w:val="0"/>
          <w:numId w:val="1"/>
        </w:numPr>
        <w:spacing w:after="60"/>
      </w:pPr>
      <w:r>
        <w:rPr>
          <w:rFonts w:ascii="Calibri" w:cs="Calibri" w:eastAsia="Calibri" w:hAnsi="Calibri"/>
          <w:sz w:val="22"/>
          <w:szCs w:val="22"/>
        </w:rPr>
        <w:t xml:space="preserve">Use the single gold accent only for the center hub or a supporting rule/divider — never as the dominant blade color.</w:t>
      </w:r>
    </w:p>
    <w:p>
      <w:pPr>
        <w:pStyle w:val="ListParagraph"/>
        <w:numPr>
          <w:ilvl w:val="0"/>
          <w:numId w:val="1"/>
        </w:numPr>
        <w:spacing w:after="60"/>
      </w:pPr>
      <w:r>
        <w:rPr>
          <w:rFonts w:ascii="Calibri" w:cs="Calibri" w:eastAsia="Calibri" w:hAnsi="Calibri"/>
          <w:sz w:val="22"/>
          <w:szCs w:val="22"/>
        </w:rPr>
        <w:t xml:space="preserve">Scale the mark proportionally in both directions.</w:t>
      </w:r>
    </w:p>
    <w:p>
      <w:pPr>
        <w:pStyle w:val="Heading2"/>
        <w:spacing w:after="150" w:before="300"/>
      </w:pPr>
      <w:r>
        <w:t xml:space="preserve">Don't</w:t>
      </w:r>
    </w:p>
    <w:p>
      <w:pPr>
        <w:pStyle w:val="ListParagraph"/>
        <w:numPr>
          <w:ilvl w:val="0"/>
          <w:numId w:val="1"/>
        </w:numPr>
        <w:spacing w:after="60"/>
      </w:pPr>
      <w:r>
        <w:rPr>
          <w:rFonts w:ascii="Calibri" w:cs="Calibri" w:eastAsia="Calibri" w:hAnsi="Calibri"/>
          <w:sz w:val="22"/>
          <w:szCs w:val="22"/>
        </w:rPr>
        <w:t xml:space="preserve">Don't recolor the blades in multiple colors at once, add drop shadows/bevels, or stretch the mark disproportionately.</w:t>
      </w:r>
    </w:p>
    <w:p>
      <w:pPr>
        <w:pStyle w:val="ListParagraph"/>
        <w:numPr>
          <w:ilvl w:val="0"/>
          <w:numId w:val="1"/>
        </w:numPr>
        <w:spacing w:after="60"/>
      </w:pPr>
      <w:r>
        <w:rPr>
          <w:rFonts w:ascii="Calibri" w:cs="Calibri" w:eastAsia="Calibri" w:hAnsi="Calibri"/>
          <w:sz w:val="22"/>
          <w:szCs w:val="22"/>
        </w:rPr>
        <w:t xml:space="preserve">Don't place the navy mark on a busy photo background without a solid color plate behind it.</w:t>
      </w:r>
    </w:p>
    <w:p>
      <w:pPr>
        <w:pStyle w:val="ListParagraph"/>
        <w:numPr>
          <w:ilvl w:val="0"/>
          <w:numId w:val="1"/>
        </w:numPr>
        <w:spacing w:after="60"/>
      </w:pPr>
      <w:r>
        <w:rPr>
          <w:rFonts w:ascii="Calibri" w:cs="Calibri" w:eastAsia="Calibri" w:hAnsi="Calibri"/>
          <w:sz w:val="22"/>
          <w:szCs w:val="22"/>
        </w:rPr>
        <w:t xml:space="preserve">Don't rotate the mark — its blade angles are fixed per concept.</w:t>
      </w:r>
    </w:p>
    <w:p>
      <w:r>
        <w:br w:type="page"/>
      </w:r>
    </w:p>
    <w:p>
      <w:pPr>
        <w:pStyle w:val="Heading1"/>
        <w:spacing w:after="200" w:before="400"/>
      </w:pPr>
      <w:r>
        <w:t xml:space="preserve">Six Logo Concepts</w:t>
      </w:r>
    </w:p>
    <w:p>
      <w:pPr>
        <w:spacing w:after="120"/>
      </w:pPr>
      <w:r>
        <w:rPr>
          <w:rFonts w:ascii="Calibri" w:cs="Calibri" w:eastAsia="Calibri" w:hAnsi="Calibri"/>
          <w:sz w:val="22"/>
          <w:szCs w:val="22"/>
        </w:rPr>
        <w:t xml:space="preserve">Each concept is shown on both a light and a dark background to confirm it holds up in both contexts. Blade count and lockup style vary across the set per your direction — some read as a dense, literal pinwheel close to your reference image; others simplify toward a cleaner, more geometric mark; two work a monogram initial into the design.</w:t>
      </w:r>
    </w:p>
    <w:p>
      <w:r>
        <w:br w:type="page"/>
      </w:r>
    </w:p>
    <w:p>
      <w:pPr>
        <w:pStyle w:val="Heading2"/>
        <w:spacing w:after="150" w:before="300"/>
      </w:pPr>
      <w:r>
        <w:t xml:space="preserve">Concept 1 — Icon-first, literal dense pinwheel (favicon / app-icon ready)</w:t>
      </w:r>
    </w:p>
    <w:p>
      <w:pPr>
        <w:jc w:val="center"/>
      </w:pPr>
      <w:r>
        <w:drawing>
          <wp:inline distT="0" distB="0" distL="0" distR="0">
            <wp:extent cx="5905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48100"/>
                    </a:xfrm>
                    <a:prstGeom prst="rect">
                      <a:avLst/>
                    </a:prstGeom>
                  </pic:spPr>
                </pic:pic>
              </a:graphicData>
            </a:graphic>
          </wp:inline>
        </w:drawing>
      </w:r>
    </w:p>
    <w:p>
      <w:r>
        <w:br w:type="page"/>
      </w:r>
    </w:p>
    <w:p>
      <w:pPr>
        <w:pStyle w:val="Heading2"/>
        <w:spacing w:after="150" w:before="300"/>
      </w:pPr>
      <w:r>
        <w:t xml:space="preserve">Concept 2 — Combination lockup, side-by-side, 8-blade geometric</w:t>
      </w:r>
    </w:p>
    <w:p>
      <w:pPr>
        <w:jc w:val="center"/>
      </w:pPr>
      <w:r>
        <w:drawing>
          <wp:inline distT="0" distB="0" distL="0" distR="0">
            <wp:extent cx="590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76400"/>
                    </a:xfrm>
                    <a:prstGeom prst="rect">
                      <a:avLst/>
                    </a:prstGeom>
                  </pic:spPr>
                </pic:pic>
              </a:graphicData>
            </a:graphic>
          </wp:inline>
        </w:drawing>
      </w:r>
    </w:p>
    <w:p>
      <w:r>
        <w:br w:type="page"/>
      </w:r>
    </w:p>
    <w:p>
      <w:pPr>
        <w:pStyle w:val="Heading2"/>
        <w:spacing w:after="150" w:before="300"/>
      </w:pPr>
      <w:r>
        <w:t xml:space="preserve">Concept 3 — Monogram mark (initial in spokes), side lockup, 6-blade clean</w:t>
      </w:r>
    </w:p>
    <w:p>
      <w:pPr>
        <w:jc w:val="center"/>
      </w:pPr>
      <w:r>
        <w:drawing>
          <wp:inline distT="0" distB="0" distL="0" distR="0">
            <wp:extent cx="590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76400"/>
                    </a:xfrm>
                    <a:prstGeom prst="rect">
                      <a:avLst/>
                    </a:prstGeom>
                  </pic:spPr>
                </pic:pic>
              </a:graphicData>
            </a:graphic>
          </wp:inline>
        </w:drawing>
      </w:r>
    </w:p>
    <w:p>
      <w:r>
        <w:br w:type="page"/>
      </w:r>
    </w:p>
    <w:p>
      <w:pPr>
        <w:pStyle w:val="Heading2"/>
        <w:spacing w:after="150" w:before="300"/>
      </w:pPr>
      <w:r>
        <w:t xml:space="preserve">Concept 4 — Icon-first stacked, mid-density 7-blade</w:t>
      </w:r>
    </w:p>
    <w:p>
      <w:pPr>
        <w:jc w:val="center"/>
      </w:pPr>
      <w:r>
        <w:drawing>
          <wp:inline distT="0" distB="0" distL="0" distR="0">
            <wp:extent cx="5905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914775"/>
                    </a:xfrm>
                    <a:prstGeom prst="rect">
                      <a:avLst/>
                    </a:prstGeom>
                  </pic:spPr>
                </pic:pic>
              </a:graphicData>
            </a:graphic>
          </wp:inline>
        </w:drawing>
      </w:r>
    </w:p>
    <w:p>
      <w:r>
        <w:br w:type="page"/>
      </w:r>
    </w:p>
    <w:p>
      <w:pPr>
        <w:pStyle w:val="Heading2"/>
        <w:spacing w:after="150" w:before="300"/>
      </w:pPr>
      <w:r>
        <w:t xml:space="preserve">Concept 5 — Combination lockup, side-by-side, 6-blade flat/minimal</w:t>
      </w:r>
    </w:p>
    <w:p>
      <w:pPr>
        <w:jc w:val="center"/>
      </w:pPr>
      <w:r>
        <w:drawing>
          <wp:inline distT="0" distB="0" distL="0" distR="0">
            <wp:extent cx="590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76400"/>
                    </a:xfrm>
                    <a:prstGeom prst="rect">
                      <a:avLst/>
                    </a:prstGeom>
                  </pic:spPr>
                </pic:pic>
              </a:graphicData>
            </a:graphic>
          </wp:inline>
        </w:drawing>
      </w:r>
    </w:p>
    <w:p>
      <w:r>
        <w:br w:type="page"/>
      </w:r>
    </w:p>
    <w:p>
      <w:pPr>
        <w:pStyle w:val="Heading2"/>
        <w:spacing w:after="150" w:before="300"/>
      </w:pPr>
      <w:r>
        <w:t xml:space="preserve">Concept 6 — Monogram mark (initial at center), icon-first, dense 9-blade</w:t>
      </w:r>
    </w:p>
    <w:p>
      <w:pPr>
        <w:jc w:val="center"/>
      </w:pPr>
      <w:r>
        <w:drawing>
          <wp:inline distT="0" distB="0" distL="0" distR="0">
            <wp:extent cx="5905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48100"/>
                    </a:xfrm>
                    <a:prstGeom prst="rect">
                      <a:avLst/>
                    </a:prstGeom>
                  </pic:spPr>
                </pic:pic>
              </a:graphicData>
            </a:graphic>
          </wp:inline>
        </w:drawing>
      </w:r>
    </w:p>
    <w:p>
      <w:r>
        <w:br w:type="page"/>
      </w:r>
    </w:p>
    <w:p>
      <w:pPr>
        <w:pStyle w:val="Heading1"/>
        <w:spacing w:after="200" w:before="400"/>
      </w:pPr>
      <w:r>
        <w:t xml:space="preserve">Letterhead</w:t>
      </w:r>
    </w:p>
    <w:p>
      <w:pPr>
        <w:spacing w:after="120"/>
      </w:pPr>
      <w:r>
        <w:rPr>
          <w:rFonts w:ascii="Calibri" w:cs="Calibri" w:eastAsia="Calibri" w:hAnsi="Calibri"/>
          <w:sz w:val="22"/>
          <w:szCs w:val="22"/>
        </w:rPr>
        <w:t xml:space="preserve">A ready-to-use Word letterhead is provided as a separate file, Letterhead-Template.docx, built on Concept 2. Preview:</w:t>
      </w:r>
    </w:p>
    <w:p>
      <w:pPr>
        <w:jc w:val="center"/>
      </w:pPr>
      <w:r>
        <w:drawing>
          <wp:inline distT="0" distB="0" distL="0" distR="0">
            <wp:extent cx="4000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181600"/>
                    </a:xfrm>
                    <a:prstGeom prst="rect">
                      <a:avLst/>
                    </a:prstGeom>
                  </pic:spPr>
                </pic:pic>
              </a:graphicData>
            </a:graphic>
          </wp:inline>
        </w:drawing>
      </w:r>
    </w:p>
    <w:p>
      <w:r>
        <w:br w:type="page"/>
      </w:r>
    </w:p>
    <w:p>
      <w:pPr>
        <w:pStyle w:val="Heading1"/>
        <w:spacing w:after="200" w:before="400"/>
      </w:pPr>
      <w:r>
        <w:t xml:space="preserve">Business Card</w:t>
      </w:r>
    </w:p>
    <w:p>
      <w:pPr>
        <w:spacing w:after="120"/>
      </w:pPr>
      <w:r>
        <w:rPr>
          <w:rFonts w:ascii="Calibri" w:cs="Calibri" w:eastAsia="Calibri" w:hAnsi="Calibri"/>
          <w:sz w:val="22"/>
          <w:szCs w:val="22"/>
        </w:rPr>
        <w:t xml:space="preserve">Standard US business card size (3.5in × 2in). Front carries the full lockup on navy; back is light with contact details and a small icon-only mark.</w:t>
      </w:r>
    </w:p>
    <w:p>
      <w:pPr>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828925"/>
                    </a:xfrm>
                    <a:prstGeom prst="rect">
                      <a:avLst/>
                    </a:prstGeom>
                  </pic:spPr>
                </pic:pic>
              </a:graphicData>
            </a:graphic>
          </wp:inline>
        </w:drawing>
      </w:r>
    </w:p>
    <w:p>
      <w:pPr>
        <w:spacing w:after="300"/>
        <w:jc w:val="center"/>
      </w:pPr>
      <w:r>
        <w:rPr>
          <w:rFonts w:ascii="Calibri" w:cs="Calibri" w:eastAsia="Calibri" w:hAnsi="Calibri"/>
          <w:i/>
          <w:iCs/>
          <w:color w:val="4F6079"/>
          <w:sz w:val="18"/>
          <w:szCs w:val="18"/>
        </w:rPr>
        <w:t xml:space="preserve">Front</w:t>
      </w:r>
    </w:p>
    <w:p>
      <w:pPr>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828925"/>
                    </a:xfrm>
                    <a:prstGeom prst="rect">
                      <a:avLst/>
                    </a:prstGeom>
                  </pic:spPr>
                </pic:pic>
              </a:graphicData>
            </a:graphic>
          </wp:inline>
        </w:drawing>
      </w:r>
    </w:p>
    <w:p>
      <w:pPr>
        <w:spacing w:after="300"/>
        <w:jc w:val="center"/>
      </w:pPr>
      <w:r>
        <w:rPr>
          <w:rFonts w:ascii="Calibri" w:cs="Calibri" w:eastAsia="Calibri" w:hAnsi="Calibri"/>
          <w:i/>
          <w:iCs/>
          <w:color w:val="4F6079"/>
          <w:sz w:val="18"/>
          <w:szCs w:val="18"/>
        </w:rPr>
        <w:t xml:space="preserve">Back</w:t>
      </w:r>
    </w:p>
    <w:p>
      <w:pPr>
        <w:pStyle w:val="Heading1"/>
        <w:spacing w:after="200" w:before="400"/>
      </w:pPr>
      <w:r>
        <w:t xml:space="preserve">Open Questions / Next Steps</w:t>
      </w:r>
    </w:p>
    <w:p>
      <w:pPr>
        <w:pStyle w:val="ListParagraph"/>
        <w:numPr>
          <w:ilvl w:val="0"/>
          <w:numId w:val="1"/>
        </w:numPr>
        <w:spacing w:after="60"/>
      </w:pPr>
      <w:r>
        <w:rPr>
          <w:rFonts w:ascii="Calibri" w:cs="Calibri" w:eastAsia="Calibri" w:hAnsi="Calibri"/>
          <w:sz w:val="22"/>
          <w:szCs w:val="22"/>
        </w:rPr>
        <w:t xml:space="preserve">Confirm the real company name and tagline (or confirm to keep working in placeholder form a while longer).</w:t>
      </w:r>
    </w:p>
    <w:p>
      <w:pPr>
        <w:pStyle w:val="ListParagraph"/>
        <w:numPr>
          <w:ilvl w:val="0"/>
          <w:numId w:val="1"/>
        </w:numPr>
        <w:spacing w:after="60"/>
      </w:pPr>
      <w:r>
        <w:rPr>
          <w:rFonts w:ascii="Calibri" w:cs="Calibri" w:eastAsia="Calibri" w:hAnsi="Calibri"/>
          <w:sz w:val="22"/>
          <w:szCs w:val="22"/>
        </w:rPr>
        <w:t xml:space="preserve">Pick a primary mark from the 6 concepts — or ask for a 7th blending elements of two.</w:t>
      </w:r>
    </w:p>
    <w:p>
      <w:pPr>
        <w:pStyle w:val="ListParagraph"/>
        <w:numPr>
          <w:ilvl w:val="0"/>
          <w:numId w:val="1"/>
        </w:numPr>
        <w:spacing w:after="60"/>
      </w:pPr>
      <w:r>
        <w:rPr>
          <w:rFonts w:ascii="Calibri" w:cs="Calibri" w:eastAsia="Calibri" w:hAnsi="Calibri"/>
          <w:sz w:val="22"/>
          <w:szCs w:val="22"/>
        </w:rPr>
        <w:t xml:space="preserve">Confirm the monogram initial if a monogram concept (3 or 6) is the direction.</w:t>
      </w:r>
    </w:p>
    <w:p>
      <w:pPr>
        <w:pStyle w:val="ListParagraph"/>
        <w:numPr>
          <w:ilvl w:val="0"/>
          <w:numId w:val="1"/>
        </w:numPr>
        <w:spacing w:after="60"/>
      </w:pPr>
      <w:r>
        <w:rPr>
          <w:rFonts w:ascii="Calibri" w:cs="Calibri" w:eastAsia="Calibri" w:hAnsi="Calibri"/>
          <w:sz w:val="22"/>
          <w:szCs w:val="22"/>
        </w:rPr>
        <w:t xml:space="preserve">Any existing sub-brand, product line, or division that also needs a lockup variant?</w:t>
      </w:r>
    </w:p>
    <w:p>
      <w:pPr>
        <w:pStyle w:val="ListParagraph"/>
        <w:numPr>
          <w:ilvl w:val="0"/>
          <w:numId w:val="1"/>
        </w:numPr>
        <w:spacing w:after="60"/>
      </w:pPr>
      <w:r>
        <w:rPr>
          <w:rFonts w:ascii="Calibri" w:cs="Calibri" w:eastAsia="Calibri" w:hAnsi="Calibri"/>
          <w:sz w:val="22"/>
          <w:szCs w:val="22"/>
        </w:rPr>
        <w:t xml:space="preserve">Once a name is locked, this document and the letterhead/business-card files can be regenerated end-to-end with the real name, tagline, and contact details filled in — no manual re-typing needed.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F60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F6079"/>
        <w:sz w:val="16"/>
        <w:szCs w:val="16"/>
      </w:rPr>
      <w:t xml:space="preserve">[COMPANY NAME] —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mbria" w:cs="Cambria" w:eastAsia="Cambria" w:hAnsi="Cambria"/>
      <w:b/>
      <w:bCs/>
      <w:color w:val="16233F"/>
      <w:sz w:val="56"/>
      <w:szCs w:val="56"/>
    </w:rPr>
  </w:style>
  <w:style w:type="paragraph" w:styleId="Heading1">
    <w:name w:val="Heading 1"/>
    <w:basedOn w:val="Normal"/>
    <w:next w:val="Normal"/>
    <w:qFormat/>
    <w:pPr>
      <w:spacing w:after="200" w:before="400"/>
    </w:pPr>
    <w:rPr>
      <w:rFonts w:ascii="Cambria" w:cs="Cambria" w:eastAsia="Cambria" w:hAnsi="Cambria"/>
      <w:b/>
      <w:bCs/>
      <w:color w:val="16233F"/>
      <w:sz w:val="32"/>
      <w:szCs w:val="32"/>
    </w:rPr>
  </w:style>
  <w:style w:type="paragraph" w:styleId="Heading2">
    <w:name w:val="Heading 2"/>
    <w:basedOn w:val="Normal"/>
    <w:next w:val="Normal"/>
    <w:qFormat/>
    <w:pPr>
      <w:spacing w:after="150" w:before="300"/>
    </w:pPr>
    <w:rPr>
      <w:rFonts w:ascii="Cambria" w:cs="Cambria" w:eastAsia="Cambria" w:hAnsi="Cambria"/>
      <w:b/>
      <w:bCs/>
      <w:color w:val="4F607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9e0efbabf4e37e17f7c6684e292ebf49b38ed0.png"/><Relationship Id="rId10" Type="http://schemas.openxmlformats.org/officeDocument/2006/relationships/image" Target="media/750a5066acf88a9f1aaa0b4019362f0311acccac.png"/><Relationship Id="rId11" Type="http://schemas.openxmlformats.org/officeDocument/2006/relationships/image" Target="media/d10cd8e11c1950a16a395f1c060139c3ce3c4216.png"/><Relationship Id="rId12" Type="http://schemas.openxmlformats.org/officeDocument/2006/relationships/image" Target="media/cd1b93e1c60c70da7767c570bb0747e12fcda631.png"/><Relationship Id="rId13" Type="http://schemas.openxmlformats.org/officeDocument/2006/relationships/image" Target="media/b70ef6ddf330b22f01baa359193640b561e5b4f6.png"/><Relationship Id="rId14" Type="http://schemas.openxmlformats.org/officeDocument/2006/relationships/image" Target="media/8b32cae7dc0b631c667d5a0e468b3bb9f58b9991.png"/><Relationship Id="rId15" Type="http://schemas.openxmlformats.org/officeDocument/2006/relationships/image" Target="media/2340868c608e382028b13d85c424b8a8d308733f.png"/><Relationship Id="rId16" Type="http://schemas.openxmlformats.org/officeDocument/2006/relationships/image" Target="media/1558a75cbe288ff9c4a16430367d6b3a378bb2fd.png"/><Relationship Id="rId17" Type="http://schemas.openxmlformats.org/officeDocument/2006/relationships/image" Target="media/61b4fbf437cd42670bebdf1bef411881343e7d52.png"/><Relationship Id="rId18" Type="http://schemas.openxmlformats.org/officeDocument/2006/relationships/image" Target="media/4ecb07bcd828d314009b730191bb8af3149dca1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2026-07-27T15:43:33.306Z</dcterms:created>
  <dcterms:modified xsi:type="dcterms:W3CDTF">2026-07-27T15:43:33.306Z</dcterms:modified>
</cp:coreProperties>
</file>

<file path=docProps/custom.xml><?xml version="1.0" encoding="utf-8"?>
<Properties xmlns="http://schemas.openxmlformats.org/officeDocument/2006/custom-properties" xmlns:vt="http://schemas.openxmlformats.org/officeDocument/2006/docPropsVTypes"/>
</file>