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Governance Report</w:t>
      </w:r>
    </w:p>
    <w:p>
      <w:pPr>
        <w:pStyle w:val="Heading1"/>
      </w:pPr>
      <w:r>
        <w:t>Executive Summary</w:t>
      </w:r>
    </w:p>
    <w:p>
      <w:r>
        <w:t>This scan identified unmasked personal data in customer tables, posing a high compliance risk under DPDP. Immediate remediation is required before further data usage.</w:t>
      </w:r>
    </w:p>
    <w:p>
      <w:pPr>
        <w:pStyle w:val="Heading1"/>
      </w:pPr>
      <w:r>
        <w:t>Risk Overview</w:t>
      </w:r>
    </w:p>
    <w:p>
      <w:r>
        <w:drawing>
          <wp:inline xmlns:a="http://schemas.openxmlformats.org/drawingml/2006/main" xmlns:pic="http://schemas.openxmlformats.org/drawingml/2006/picture">
            <wp:extent cx="5669280" cy="36445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export_ris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Apply masking or tokenization to protect sensitive data</w:t>
      </w:r>
    </w:p>
    <w:p>
      <w:pPr>
        <w:pStyle w:val="Heading1"/>
      </w:pPr>
      <w:r>
        <w:t>PII Exposure</w:t>
      </w:r>
    </w:p>
    <w:p>
      <w:r>
        <w:drawing>
          <wp:inline xmlns:a="http://schemas.openxmlformats.org/drawingml/2006/main" xmlns:pic="http://schemas.openxmlformats.org/drawingml/2006/picture">
            <wp:extent cx="5669280" cy="36445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export_pi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public.customers.customer_name: Unprotected sensitive data</w:t>
      </w:r>
    </w:p>
    <w:p>
      <w:pPr>
        <w:pStyle w:val="ListBullet"/>
      </w:pPr>
      <w:r>
        <w:t>public.customers.email: Unprotected sensitive data</w:t>
      </w:r>
    </w:p>
    <w:p>
      <w:pPr>
        <w:pStyle w:val="Heading1"/>
      </w:pPr>
      <w:r>
        <w:t>Data Quality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export_dq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Profiled 2 table(s). Data quality score is 100.0.</w:t>
      </w:r>
    </w:p>
    <w:p>
      <w:pPr>
        <w:pStyle w:val="Heading1"/>
      </w:pPr>
      <w:r>
        <w:t>AI Insights</w:t>
      </w:r>
    </w:p>
    <w:p>
      <w:pPr>
        <w:pStyle w:val="ListBullet"/>
      </w:pPr>
      <w:r>
        <w:t>Apply masking or tokenization to protect sensitive data</w:t>
      </w:r>
    </w:p>
    <w:p>
      <w:pPr>
        <w:pStyle w:val="ListBullet"/>
      </w:pPr>
      <w:r>
        <w:t>Increase sample coverage and resolve profiling limitations</w:t>
      </w:r>
    </w:p>
    <w:p>
      <w:pPr>
        <w:pStyle w:val="ListBullet"/>
      </w:pPr>
      <w:r>
        <w:t>Inferred relationships across 1 column pair(s) suggest shared identifiers that should be validated for lineage and access control.</w:t>
      </w:r>
    </w:p>
    <w:p>
      <w:pPr>
        <w:pStyle w:val="Heading1"/>
      </w:pPr>
      <w:r>
        <w:t>Recommendations</w:t>
      </w:r>
    </w:p>
    <w:p>
      <w:pPr>
        <w:pStyle w:val="ListBullet"/>
      </w:pPr>
      <w:r>
        <w:t>Increase sample coverage and resolve profiling limitations</w:t>
      </w:r>
    </w:p>
    <w:p>
      <w:pPr>
        <w:pStyle w:val="ListBullet"/>
      </w:pPr>
      <w:r>
        <w:t>Apply masking or tokenization to protect sensitive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