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87448" w14:textId="77777777" w:rsidR="005F0C58" w:rsidRPr="005F0C58" w:rsidRDefault="005F0C58" w:rsidP="005F0C58">
      <w:pPr>
        <w:rPr>
          <w:b/>
          <w:bCs/>
          <w:sz w:val="32"/>
          <w:szCs w:val="32"/>
          <w:u w:val="single"/>
        </w:rPr>
      </w:pPr>
      <w:r w:rsidRPr="005F0C58">
        <w:rPr>
          <w:b/>
          <w:bCs/>
          <w:sz w:val="32"/>
          <w:szCs w:val="32"/>
          <w:u w:val="single"/>
        </w:rPr>
        <w:t>Visualizations:</w:t>
      </w:r>
    </w:p>
    <w:p w14:paraId="7161C332" w14:textId="77777777" w:rsidR="005F0C58" w:rsidRPr="005F0C58" w:rsidRDefault="005F0C58" w:rsidP="005F0C58">
      <w:r w:rsidRPr="005F0C58">
        <w:t>1. </w:t>
      </w:r>
      <w:r w:rsidRPr="005F0C58">
        <w:rPr>
          <w:b/>
          <w:bCs/>
        </w:rPr>
        <w:t>Life Expectancy Across the World</w:t>
      </w:r>
    </w:p>
    <w:p w14:paraId="4E8A5B96" w14:textId="77777777" w:rsidR="005F0C58" w:rsidRPr="005F0C58" w:rsidRDefault="005F0C58" w:rsidP="005F0C58">
      <w:r w:rsidRPr="005F0C58">
        <w:t>The choropleth map is an effective tool for visualizing the geographic distribution of life expectancy across the world. By shading countries according to their average life expectancy, the map allows for clear and direct comparison across regions. The natural earth projection was selected to provide a familiar and easy-to-interpret view of the world while minimizing distortion at the poles.</w:t>
      </w:r>
    </w:p>
    <w:p w14:paraId="2CE85E3D" w14:textId="77777777" w:rsidR="005F0C58" w:rsidRPr="005F0C58" w:rsidRDefault="005F0C58" w:rsidP="005F0C58">
      <w:r w:rsidRPr="005F0C58">
        <w:t>The </w:t>
      </w:r>
      <w:proofErr w:type="spellStart"/>
      <w:r w:rsidRPr="005F0C58">
        <w:rPr>
          <w:b/>
          <w:bCs/>
        </w:rPr>
        <w:t>Viridis</w:t>
      </w:r>
      <w:proofErr w:type="spellEnd"/>
      <w:r w:rsidRPr="005F0C58">
        <w:t> </w:t>
      </w:r>
      <w:proofErr w:type="spellStart"/>
      <w:r w:rsidRPr="005F0C58">
        <w:t>color</w:t>
      </w:r>
      <w:proofErr w:type="spellEnd"/>
      <w:r w:rsidRPr="005F0C58">
        <w:t xml:space="preserve"> scale was chosen for its balance between aesthetics and functionality. Its gradient from dark purple (representing lower life expectancy) to bright yellow (representing higher life expectancy) provides a clear visual distinction between different life expectancy ranges. This </w:t>
      </w:r>
      <w:proofErr w:type="spellStart"/>
      <w:r w:rsidRPr="005F0C58">
        <w:t>color</w:t>
      </w:r>
      <w:proofErr w:type="spellEnd"/>
      <w:r w:rsidRPr="005F0C58">
        <w:t xml:space="preserve"> scheme is also </w:t>
      </w:r>
      <w:proofErr w:type="spellStart"/>
      <w:r w:rsidRPr="005F0C58">
        <w:t>colorblind</w:t>
      </w:r>
      <w:proofErr w:type="spellEnd"/>
      <w:r w:rsidRPr="005F0C58">
        <w:t>-friendly, ensuring accessibility for a wider audience.</w:t>
      </w:r>
    </w:p>
    <w:p w14:paraId="69740E58" w14:textId="77777777" w:rsidR="005F0C58" w:rsidRPr="005F0C58" w:rsidRDefault="005F0C58" w:rsidP="005F0C58">
      <w:r w:rsidRPr="005F0C58">
        <w:t xml:space="preserve">Adjustments were made to optimize the visual balance of the map. The size of the globe was reduced using the projection scale to prevent the map from overwhelming the viewer, while margins were added to create breathing room around the map. The </w:t>
      </w:r>
      <w:proofErr w:type="spellStart"/>
      <w:r w:rsidRPr="005F0C58">
        <w:t>color</w:t>
      </w:r>
      <w:proofErr w:type="spellEnd"/>
      <w:r w:rsidRPr="005F0C58">
        <w:t xml:space="preserve"> bar was resized to take up less space, keeping the focus on the map itself while still providing clear reference for the life expectancy values.</w:t>
      </w:r>
    </w:p>
    <w:p w14:paraId="24572B0D" w14:textId="6EBD2480" w:rsidR="005F0C58" w:rsidRPr="005F0C58" w:rsidRDefault="005F0C58" w:rsidP="005F0C58">
      <w:r w:rsidRPr="005F0C58">
        <w:rPr>
          <w:lang w:val="en-GB"/>
        </w:rPr>
        <w:drawing>
          <wp:inline distT="0" distB="0" distL="0" distR="0" wp14:anchorId="4A085B3B" wp14:editId="6B1A65B8">
            <wp:extent cx="5731510" cy="3440430"/>
            <wp:effectExtent l="0" t="0" r="2540" b="7620"/>
            <wp:docPr id="2427426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40430"/>
                    </a:xfrm>
                    <a:prstGeom prst="rect">
                      <a:avLst/>
                    </a:prstGeom>
                    <a:noFill/>
                    <a:ln>
                      <a:noFill/>
                    </a:ln>
                  </pic:spPr>
                </pic:pic>
              </a:graphicData>
            </a:graphic>
          </wp:inline>
        </w:drawing>
      </w:r>
      <w:r w:rsidRPr="005F0C58">
        <w:t>2. </w:t>
      </w:r>
      <w:r w:rsidRPr="005F0C58">
        <w:rPr>
          <w:b/>
          <w:bCs/>
        </w:rPr>
        <w:t>Histogram: Distribution of Life Expectancy</w:t>
      </w:r>
    </w:p>
    <w:p w14:paraId="3F1B4679" w14:textId="77777777" w:rsidR="005F0C58" w:rsidRPr="005F0C58" w:rsidRDefault="005F0C58" w:rsidP="005F0C58">
      <w:r w:rsidRPr="005F0C58">
        <w:t xml:space="preserve">This histogram illustrates the distribution of life expectancy values across different countries, offering a clear visual representation of the frequency of each life expectancy range. The majority of countries fall within the </w:t>
      </w:r>
      <w:proofErr w:type="gramStart"/>
      <w:r w:rsidRPr="005F0C58">
        <w:t>60-80 year</w:t>
      </w:r>
      <w:proofErr w:type="gramEnd"/>
      <w:r w:rsidRPr="005F0C58">
        <w:t xml:space="preserve"> range, as indicated by the concentration of higher bars in this area.</w:t>
      </w:r>
    </w:p>
    <w:p w14:paraId="146B6501" w14:textId="77777777" w:rsidR="005F0C58" w:rsidRPr="005F0C58" w:rsidRDefault="005F0C58" w:rsidP="005F0C58">
      <w:r w:rsidRPr="005F0C58">
        <w:t>To maintain consistency with the dashboard's visual theme, the </w:t>
      </w:r>
      <w:proofErr w:type="spellStart"/>
      <w:r w:rsidRPr="005F0C58">
        <w:rPr>
          <w:b/>
          <w:bCs/>
        </w:rPr>
        <w:t>Viridis</w:t>
      </w:r>
      <w:proofErr w:type="spellEnd"/>
      <w:r w:rsidRPr="005F0C58">
        <w:t> </w:t>
      </w:r>
      <w:proofErr w:type="spellStart"/>
      <w:r w:rsidRPr="005F0C58">
        <w:t>color</w:t>
      </w:r>
      <w:proofErr w:type="spellEnd"/>
      <w:r w:rsidRPr="005F0C58">
        <w:t xml:space="preserve"> palette was applied, specifically using a shade that complements the rest of the visualizations. This ensures that the histogram aligns with the overall design while remaining easy to interpret.</w:t>
      </w:r>
    </w:p>
    <w:p w14:paraId="770E910E" w14:textId="77777777" w:rsidR="005F0C58" w:rsidRPr="005F0C58" w:rsidRDefault="005F0C58" w:rsidP="005F0C58">
      <w:r w:rsidRPr="005F0C58">
        <w:lastRenderedPageBreak/>
        <w:t>The choice of </w:t>
      </w:r>
      <w:r w:rsidRPr="005F0C58">
        <w:rPr>
          <w:b/>
          <w:bCs/>
        </w:rPr>
        <w:t>Arial</w:t>
      </w:r>
      <w:r w:rsidRPr="005F0C58">
        <w:t> font and </w:t>
      </w:r>
      <w:r w:rsidRPr="005F0C58">
        <w:rPr>
          <w:b/>
          <w:bCs/>
        </w:rPr>
        <w:t>dark blue</w:t>
      </w:r>
      <w:r w:rsidRPr="005F0C58">
        <w:t> </w:t>
      </w:r>
      <w:proofErr w:type="spellStart"/>
      <w:r w:rsidRPr="005F0C58">
        <w:t>color</w:t>
      </w:r>
      <w:proofErr w:type="spellEnd"/>
      <w:r w:rsidRPr="005F0C58">
        <w:t xml:space="preserve"> for the x-axis and y-axis labels ensures clarity and readability, aligning with the rest of the dashboard. Bars are slightly spaced using a small gap (</w:t>
      </w:r>
      <w:proofErr w:type="spellStart"/>
      <w:r w:rsidRPr="005F0C58">
        <w:t>bargap</w:t>
      </w:r>
      <w:proofErr w:type="spellEnd"/>
      <w:r w:rsidRPr="005F0C58">
        <w:t>) to provide visual separation and improve clarity. The overall layout emphasizes simplicity, making the chart accessible and easy to read, while still adhering to the coherent aesthetic of the dashboard.</w:t>
      </w:r>
    </w:p>
    <w:p w14:paraId="04DFC10C" w14:textId="026B21F0" w:rsidR="005F0C58" w:rsidRPr="005F0C58" w:rsidRDefault="005F0C58" w:rsidP="005F0C58">
      <w:r w:rsidRPr="005F0C58">
        <w:rPr>
          <w:lang w:val="en-GB"/>
        </w:rPr>
        <w:drawing>
          <wp:inline distT="0" distB="0" distL="0" distR="0" wp14:anchorId="3DA0CCF0" wp14:editId="35EDE4B1">
            <wp:extent cx="5730240" cy="2369820"/>
            <wp:effectExtent l="0" t="0" r="3810" b="0"/>
            <wp:docPr id="21088404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r w:rsidRPr="005F0C58">
        <w:t>3. </w:t>
      </w:r>
      <w:r w:rsidRPr="005F0C58">
        <w:rPr>
          <w:b/>
          <w:bCs/>
        </w:rPr>
        <w:t>Correlation Heatmap of Socio-Economic Factors and Life Expectancy</w:t>
      </w:r>
    </w:p>
    <w:p w14:paraId="16FD9FAF" w14:textId="77777777" w:rsidR="005F0C58" w:rsidRPr="005F0C58" w:rsidRDefault="005F0C58" w:rsidP="005F0C58">
      <w:r w:rsidRPr="005F0C58">
        <w:t>This correlation heatmap visualizes the relationships between various socio-economic factors and life expectancy, providing a clear overview of how these factors interact. Each cell represents the correlation coefficient between two factors, with stronger positive correlations shown in darker blue and stronger negative correlations in darker red. This allows for easy identification of the most influential factors affecting life expectancy.</w:t>
      </w:r>
    </w:p>
    <w:p w14:paraId="1AE3CA81" w14:textId="77777777" w:rsidR="005F0C58" w:rsidRPr="005F0C58" w:rsidRDefault="005F0C58" w:rsidP="005F0C58">
      <w:r w:rsidRPr="005F0C58">
        <w:t>The strongest positive correlation is observed between </w:t>
      </w:r>
      <w:r w:rsidRPr="005F0C58">
        <w:rPr>
          <w:b/>
          <w:bCs/>
        </w:rPr>
        <w:t>Sanitation</w:t>
      </w:r>
      <w:r w:rsidRPr="005F0C58">
        <w:t> and </w:t>
      </w:r>
      <w:r w:rsidRPr="005F0C58">
        <w:rPr>
          <w:b/>
          <w:bCs/>
        </w:rPr>
        <w:t>Life Expectancy</w:t>
      </w:r>
      <w:r w:rsidRPr="005F0C58">
        <w:t>, marked for emphasis in green. In contrast, the strongest negative correlation is with </w:t>
      </w:r>
      <w:r w:rsidRPr="005F0C58">
        <w:rPr>
          <w:b/>
          <w:bCs/>
        </w:rPr>
        <w:t>Prevalence of Undernourishment</w:t>
      </w:r>
      <w:r w:rsidRPr="005F0C58">
        <w:t>, highlighted in red. These annotations serve to draw attention to the key relationships identified in the dataset.</w:t>
      </w:r>
    </w:p>
    <w:p w14:paraId="2FDC66BE" w14:textId="77777777" w:rsidR="005F0C58" w:rsidRPr="005F0C58" w:rsidRDefault="005F0C58" w:rsidP="005F0C58">
      <w:r w:rsidRPr="005F0C58">
        <w:t>The layout also ensures that the annotations are positioned clearly, minimizing visual clutter while still emphasizing important insights. The overall design maintains coherence with the dashboard, ensuring that the visualization is easy to interpret and visually harmonious with the rest of the dashboard elements.</w:t>
      </w:r>
    </w:p>
    <w:p w14:paraId="355E637C" w14:textId="3A6BC4D5" w:rsidR="005F0C58" w:rsidRPr="005F0C58" w:rsidRDefault="005F0C58" w:rsidP="005F0C58">
      <w:r w:rsidRPr="005F0C58">
        <w:rPr>
          <w:lang w:val="en-GB"/>
        </w:rPr>
        <w:lastRenderedPageBreak/>
        <w:drawing>
          <wp:inline distT="0" distB="0" distL="0" distR="0" wp14:anchorId="5CE2D93E" wp14:editId="17A21E80">
            <wp:extent cx="5730240" cy="2369820"/>
            <wp:effectExtent l="0" t="0" r="3810" b="0"/>
            <wp:docPr id="1197175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r w:rsidRPr="005F0C58">
        <w:t>4. </w:t>
      </w:r>
      <w:proofErr w:type="spellStart"/>
      <w:r w:rsidRPr="005F0C58">
        <w:rPr>
          <w:b/>
          <w:bCs/>
        </w:rPr>
        <w:t>Hexbin</w:t>
      </w:r>
      <w:proofErr w:type="spellEnd"/>
      <w:r w:rsidRPr="005F0C58">
        <w:rPr>
          <w:b/>
          <w:bCs/>
        </w:rPr>
        <w:t xml:space="preserve"> Plot: Life Expectancy vs. Sanitation</w:t>
      </w:r>
    </w:p>
    <w:p w14:paraId="011B6B6F" w14:textId="77777777" w:rsidR="005F0C58" w:rsidRPr="005F0C58" w:rsidRDefault="005F0C58" w:rsidP="005F0C58">
      <w:r w:rsidRPr="005F0C58">
        <w:t xml:space="preserve">This </w:t>
      </w:r>
      <w:proofErr w:type="spellStart"/>
      <w:r w:rsidRPr="005F0C58">
        <w:t>hexbin</w:t>
      </w:r>
      <w:proofErr w:type="spellEnd"/>
      <w:r w:rsidRPr="005F0C58">
        <w:t xml:space="preserve"> plot is an ideal choice for visualizing the relationship between </w:t>
      </w:r>
      <w:r w:rsidRPr="005F0C58">
        <w:rPr>
          <w:b/>
          <w:bCs/>
        </w:rPr>
        <w:t>Life Expectancy</w:t>
      </w:r>
      <w:r w:rsidRPr="005F0C58">
        <w:t> and </w:t>
      </w:r>
      <w:r w:rsidRPr="005F0C58">
        <w:rPr>
          <w:b/>
          <w:bCs/>
        </w:rPr>
        <w:t>Sanitation</w:t>
      </w:r>
      <w:r w:rsidRPr="005F0C58">
        <w:t>. It effectively manages the overlap of data points by using hexagonal bins, allowing us to see areas of high data density clearly. The plot reveals a positive correlation between sanitation levels and life expectancy, represented by the upward trendline, which aligns with the findings from the earlier correlation heatmap.</w:t>
      </w:r>
    </w:p>
    <w:p w14:paraId="13F53D92" w14:textId="77777777" w:rsidR="005F0C58" w:rsidRPr="005F0C58" w:rsidRDefault="005F0C58" w:rsidP="005F0C58">
      <w:r w:rsidRPr="005F0C58">
        <w:t>This plot is a logical continuation of the data story after the heatmap, which identified sanitation as having the strongest positive correlation with life expectancy. Here, we explore that relationship in more detail, confirming the significance of sanitation as a key factor in increasing life expectancy. The plot provides a detailed visual confirmation of this correlation, reinforcing the insights presented earlier.</w:t>
      </w:r>
    </w:p>
    <w:p w14:paraId="4247BF04" w14:textId="77777777" w:rsidR="005F0C58" w:rsidRPr="005F0C58" w:rsidRDefault="005F0C58" w:rsidP="005F0C58">
      <w:r w:rsidRPr="005F0C58">
        <w:t>This plot is a crucial part of the data story, as it zooms in on a key relationship highlighted in the broader analysis, providing an in-depth exploration of how sanitation impacts life expectancy.</w:t>
      </w:r>
    </w:p>
    <w:p w14:paraId="5577CB8A" w14:textId="6C391564" w:rsidR="005F0C58" w:rsidRPr="005F0C58" w:rsidRDefault="005F0C58" w:rsidP="005F0C58">
      <w:r w:rsidRPr="005F0C58">
        <w:rPr>
          <w:lang w:val="en-GB"/>
        </w:rPr>
        <w:drawing>
          <wp:inline distT="0" distB="0" distL="0" distR="0" wp14:anchorId="05B5195C" wp14:editId="71FD25DA">
            <wp:extent cx="5730240" cy="2369820"/>
            <wp:effectExtent l="0" t="0" r="3810" b="0"/>
            <wp:docPr id="8809411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r w:rsidRPr="005F0C58">
        <w:t>5. </w:t>
      </w:r>
      <w:r w:rsidRPr="005F0C58">
        <w:rPr>
          <w:b/>
          <w:bCs/>
        </w:rPr>
        <w:t>Bar Chart: Average Sanitation and Life Expectancy by Region</w:t>
      </w:r>
    </w:p>
    <w:p w14:paraId="6FC84F70" w14:textId="77777777" w:rsidR="005F0C58" w:rsidRPr="005F0C58" w:rsidRDefault="005F0C58" w:rsidP="005F0C58">
      <w:r w:rsidRPr="005F0C58">
        <w:t>This bar chart visualizes the average </w:t>
      </w:r>
      <w:r w:rsidRPr="005F0C58">
        <w:rPr>
          <w:b/>
          <w:bCs/>
        </w:rPr>
        <w:t>Sanitation ** and **Life Expectancy (Years)</w:t>
      </w:r>
      <w:r w:rsidRPr="005F0C58">
        <w:t> by region, offering a direct comparison between the two factors across different geographical areas. It effectively conveys how these two metrics align, allowing for easy visual comparison between sanitation levels and life expectancy within each region. The regions are sorted by life expectancy, making it simple to see which areas have higher life expectancies and how sanitation correlates.</w:t>
      </w:r>
    </w:p>
    <w:p w14:paraId="729C6183" w14:textId="77777777" w:rsidR="005F0C58" w:rsidRPr="005F0C58" w:rsidRDefault="005F0C58" w:rsidP="005F0C58">
      <w:r w:rsidRPr="005F0C58">
        <w:lastRenderedPageBreak/>
        <w:t xml:space="preserve">This </w:t>
      </w:r>
      <w:proofErr w:type="spellStart"/>
      <w:r w:rsidRPr="005F0C58">
        <w:t>color</w:t>
      </w:r>
      <w:proofErr w:type="spellEnd"/>
      <w:r w:rsidRPr="005F0C58">
        <w:t xml:space="preserve"> scheme not only aligns with the rest of the dashboard but also makes it easier to distinguish between the two variables.</w:t>
      </w:r>
    </w:p>
    <w:p w14:paraId="7455D918" w14:textId="77777777" w:rsidR="005F0C58" w:rsidRPr="005F0C58" w:rsidRDefault="005F0C58" w:rsidP="005F0C58">
      <w:r w:rsidRPr="005F0C58">
        <w:t xml:space="preserve">This chart logically follows the </w:t>
      </w:r>
      <w:proofErr w:type="spellStart"/>
      <w:r w:rsidRPr="005F0C58">
        <w:t>hexbin</w:t>
      </w:r>
      <w:proofErr w:type="spellEnd"/>
      <w:r w:rsidRPr="005F0C58">
        <w:t xml:space="preserve"> plot and correlation heatmap as it further explores the relationship between sanitation and life expectancy, but with a regional focus. By showing the average values, it highlights how regional differences play a role in these key indicators, reinforcing the importance of sanitation as a significant factor in determining life expectancy. This regional breakdown provides a broader view, supporting the earlier findings and offering an additional layer of insight into global disparities in life expectancy.</w:t>
      </w:r>
    </w:p>
    <w:p w14:paraId="1C766D53" w14:textId="090EEEAB" w:rsidR="005F0C58" w:rsidRPr="005F0C58" w:rsidRDefault="005F0C58" w:rsidP="005F0C58">
      <w:r w:rsidRPr="005F0C58">
        <w:rPr>
          <w:lang w:val="en-GB"/>
        </w:rPr>
        <w:drawing>
          <wp:inline distT="0" distB="0" distL="0" distR="0" wp14:anchorId="0F9A9F3D" wp14:editId="40A80685">
            <wp:extent cx="5730240" cy="2369820"/>
            <wp:effectExtent l="0" t="0" r="3810" b="0"/>
            <wp:docPr id="4101032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r w:rsidRPr="005F0C58">
        <w:t>6. </w:t>
      </w:r>
      <w:r w:rsidRPr="005F0C58">
        <w:rPr>
          <w:b/>
          <w:bCs/>
        </w:rPr>
        <w:t>Scatter Plot: Life Expectancy vs. Prevalence of Undernourishment</w:t>
      </w:r>
    </w:p>
    <w:p w14:paraId="064CC985" w14:textId="77777777" w:rsidR="005F0C58" w:rsidRPr="005F0C58" w:rsidRDefault="005F0C58" w:rsidP="005F0C58">
      <w:r w:rsidRPr="005F0C58">
        <w:t>This scatter plot shows the negative correlation between </w:t>
      </w:r>
      <w:r w:rsidRPr="005F0C58">
        <w:rPr>
          <w:b/>
          <w:bCs/>
        </w:rPr>
        <w:t>Life Expectancy</w:t>
      </w:r>
      <w:r w:rsidRPr="005F0C58">
        <w:t> and </w:t>
      </w:r>
      <w:r w:rsidRPr="005F0C58">
        <w:rPr>
          <w:b/>
          <w:bCs/>
        </w:rPr>
        <w:t>Prevalence of Undernourishment</w:t>
      </w:r>
      <w:r w:rsidRPr="005F0C58">
        <w:t xml:space="preserve"> across regions. Each dot represents a country, </w:t>
      </w:r>
      <w:proofErr w:type="spellStart"/>
      <w:r w:rsidRPr="005F0C58">
        <w:t>colored</w:t>
      </w:r>
      <w:proofErr w:type="spellEnd"/>
      <w:r w:rsidRPr="005F0C58">
        <w:t xml:space="preserve"> by region, with trend lines for each region indicating the overall relationship.</w:t>
      </w:r>
    </w:p>
    <w:p w14:paraId="4ADBA7EA" w14:textId="77777777" w:rsidR="005F0C58" w:rsidRPr="005F0C58" w:rsidRDefault="005F0C58" w:rsidP="005F0C58">
      <w:r w:rsidRPr="005F0C58">
        <w:t>A key feature of this plot is its </w:t>
      </w:r>
      <w:r w:rsidRPr="005F0C58">
        <w:rPr>
          <w:b/>
          <w:bCs/>
        </w:rPr>
        <w:t>interactivity</w:t>
      </w:r>
      <w:r w:rsidRPr="005F0C58">
        <w:t>. You can hover over data points for detailed country information, and the legend allows for filtering by region or combinations of regions. This responsiveness makes it easy to explore regional patterns and dive into specific areas of interest.</w:t>
      </w:r>
    </w:p>
    <w:p w14:paraId="67C5A97A" w14:textId="77777777" w:rsidR="005F0C58" w:rsidRPr="005F0C58" w:rsidRDefault="005F0C58" w:rsidP="005F0C58">
      <w:r w:rsidRPr="005F0C58">
        <w:t xml:space="preserve">The distinct regional </w:t>
      </w:r>
      <w:proofErr w:type="spellStart"/>
      <w:r w:rsidRPr="005F0C58">
        <w:t>colors</w:t>
      </w:r>
      <w:proofErr w:type="spellEnd"/>
      <w:r w:rsidRPr="005F0C58">
        <w:t xml:space="preserve"> ensure clarity while maintaining coherence with the dashboard's overall design. This chart builds on previous visualizations by offering a deeper look at how undernourishment impacts life expectancy, especially in regions like </w:t>
      </w:r>
      <w:r w:rsidRPr="005F0C58">
        <w:rPr>
          <w:b/>
          <w:bCs/>
        </w:rPr>
        <w:t>Sub-Saharan Africa</w:t>
      </w:r>
      <w:r w:rsidRPr="005F0C58">
        <w:t> and </w:t>
      </w:r>
      <w:r w:rsidRPr="005F0C58">
        <w:rPr>
          <w:b/>
          <w:bCs/>
        </w:rPr>
        <w:t>South Asia</w:t>
      </w:r>
      <w:r w:rsidRPr="005F0C58">
        <w:t>, where the effects are more pronounced.</w:t>
      </w:r>
    </w:p>
    <w:p w14:paraId="2503959F" w14:textId="2D50AE2D" w:rsidR="005F0C58" w:rsidRPr="005F0C58" w:rsidRDefault="005F0C58" w:rsidP="005F0C58">
      <w:r w:rsidRPr="005F0C58">
        <w:rPr>
          <w:lang w:val="en-GB"/>
        </w:rPr>
        <w:lastRenderedPageBreak/>
        <w:drawing>
          <wp:inline distT="0" distB="0" distL="0" distR="0" wp14:anchorId="39DB9F35" wp14:editId="6F6432C8">
            <wp:extent cx="5730240" cy="2369820"/>
            <wp:effectExtent l="0" t="0" r="3810" b="0"/>
            <wp:docPr id="4140744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r w:rsidRPr="005F0C58">
        <w:t>7. </w:t>
      </w:r>
      <w:r w:rsidRPr="005F0C58">
        <w:rPr>
          <w:b/>
          <w:bCs/>
        </w:rPr>
        <w:t>Box Plot: Life Expectancy by Region</w:t>
      </w:r>
    </w:p>
    <w:p w14:paraId="158FC89C" w14:textId="77777777" w:rsidR="005F0C58" w:rsidRPr="005F0C58" w:rsidRDefault="005F0C58" w:rsidP="005F0C58">
      <w:r w:rsidRPr="005F0C58">
        <w:t>This box plot provides a clear visualization of the distribution of </w:t>
      </w:r>
      <w:r w:rsidRPr="005F0C58">
        <w:rPr>
          <w:b/>
          <w:bCs/>
        </w:rPr>
        <w:t>Life Expectancy</w:t>
      </w:r>
      <w:r w:rsidRPr="005F0C58">
        <w:t> within each region, highlighting the variability and central tendencies across different geographical areas. By displaying the median, quartiles, and potential outliers for each region, the plot allows for a comprehensive comparison of life expectancy distributions.</w:t>
      </w:r>
    </w:p>
    <w:p w14:paraId="480FC5F7" w14:textId="77777777" w:rsidR="005F0C58" w:rsidRPr="005F0C58" w:rsidRDefault="005F0C58" w:rsidP="005F0C58">
      <w:r w:rsidRPr="005F0C58">
        <w:t>The choice of a box plot is intentional to showcase not just the average life expectancy but also the spread and skewness within each region. This is crucial for identifying regions with high variability, which might indicate disparities in health outcomes within the same geographical area.</w:t>
      </w:r>
    </w:p>
    <w:p w14:paraId="202A5E89" w14:textId="77777777" w:rsidR="005F0C58" w:rsidRPr="005F0C58" w:rsidRDefault="005F0C58" w:rsidP="005F0C58">
      <w:r w:rsidRPr="005F0C58">
        <w:t>The regions are color-coded using a consistent </w:t>
      </w:r>
      <w:r w:rsidRPr="005F0C58">
        <w:rPr>
          <w:b/>
          <w:bCs/>
        </w:rPr>
        <w:t>Set2</w:t>
      </w:r>
      <w:r w:rsidRPr="005F0C58">
        <w:t> palette from the </w:t>
      </w:r>
      <w:proofErr w:type="spellStart"/>
      <w:r w:rsidRPr="005F0C58">
        <w:rPr>
          <w:b/>
          <w:bCs/>
        </w:rPr>
        <w:t>Plotly</w:t>
      </w:r>
      <w:proofErr w:type="spellEnd"/>
      <w:r w:rsidRPr="005F0C58">
        <w:rPr>
          <w:b/>
          <w:bCs/>
        </w:rPr>
        <w:t xml:space="preserve"> Express</w:t>
      </w:r>
      <w:r w:rsidRPr="005F0C58">
        <w:t xml:space="preserve"> library, ensuring visual harmony with the rest of the dashboard. This </w:t>
      </w:r>
      <w:proofErr w:type="spellStart"/>
      <w:r w:rsidRPr="005F0C58">
        <w:t>color</w:t>
      </w:r>
      <w:proofErr w:type="spellEnd"/>
      <w:r w:rsidRPr="005F0C58">
        <w:t xml:space="preserve"> scheme aids in distinguishing between regions while maintaining an overall aesthetic coherence. The use of interactive features allows users to hover over each box to see detailed statistics, such as the quartiles and outlier values, providing an in-depth understanding of the data.</w:t>
      </w:r>
    </w:p>
    <w:p w14:paraId="14798464" w14:textId="6BDEF3BE" w:rsidR="005F0C58" w:rsidRPr="005F0C58" w:rsidRDefault="005F0C58" w:rsidP="005F0C58">
      <w:r w:rsidRPr="005F0C58">
        <w:rPr>
          <w:lang w:val="en-GB"/>
        </w:rPr>
        <w:drawing>
          <wp:inline distT="0" distB="0" distL="0" distR="0" wp14:anchorId="39778900" wp14:editId="397C44B2">
            <wp:extent cx="5730240" cy="2369820"/>
            <wp:effectExtent l="0" t="0" r="3810" b="0"/>
            <wp:docPr id="1209132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r w:rsidRPr="005F0C58">
        <w:t>8. </w:t>
      </w:r>
      <w:r w:rsidRPr="005F0C58">
        <w:rPr>
          <w:b/>
          <w:bCs/>
        </w:rPr>
        <w:t>Time Series Plot: Life Expectancy Over Time by Region</w:t>
      </w:r>
    </w:p>
    <w:p w14:paraId="14D8A2E8" w14:textId="77777777" w:rsidR="005F0C58" w:rsidRPr="005F0C58" w:rsidRDefault="005F0C58" w:rsidP="005F0C58">
      <w:r w:rsidRPr="005F0C58">
        <w:t>The time series plot illustrates the progression of </w:t>
      </w:r>
      <w:r w:rsidRPr="005F0C58">
        <w:rPr>
          <w:b/>
          <w:bCs/>
        </w:rPr>
        <w:t>Life Expectancy</w:t>
      </w:r>
      <w:r w:rsidRPr="005F0C58">
        <w:t> over the years for each region, providing a dynamic view of how health outcomes have evolved globally. By plotting life expectancy against time, we can observe trends, improvements, or declines within regions, highlighting the impact of historical events, policies, and developments on public health.</w:t>
      </w:r>
    </w:p>
    <w:p w14:paraId="55EE690F" w14:textId="77777777" w:rsidR="005F0C58" w:rsidRPr="005F0C58" w:rsidRDefault="005F0C58" w:rsidP="005F0C58">
      <w:r w:rsidRPr="005F0C58">
        <w:lastRenderedPageBreak/>
        <w:t xml:space="preserve">This line chart employs distinct </w:t>
      </w:r>
      <w:proofErr w:type="spellStart"/>
      <w:r w:rsidRPr="005F0C58">
        <w:t>colors</w:t>
      </w:r>
      <w:proofErr w:type="spellEnd"/>
      <w:r w:rsidRPr="005F0C58">
        <w:t xml:space="preserve"> for each region, using the </w:t>
      </w:r>
      <w:r w:rsidRPr="005F0C58">
        <w:rPr>
          <w:b/>
          <w:bCs/>
        </w:rPr>
        <w:t>Set1</w:t>
      </w:r>
      <w:r w:rsidRPr="005F0C58">
        <w:t> palette to ensure clear differentiation while maintaining visual consistency with the dashboard's theme. Interactive legends allow users to focus on specific regions by toggling their visibility, enhancing the exploratory experience.</w:t>
      </w:r>
    </w:p>
    <w:p w14:paraId="364148EE" w14:textId="09D0AE5A" w:rsidR="005F0C58" w:rsidRPr="005F0C58" w:rsidRDefault="005F0C58" w:rsidP="005F0C58">
      <w:r w:rsidRPr="005F0C58">
        <w:t>In the context of the dashboard's data story, this time series plot extends the analysis from a static snapshot to a dynamic narrative. It complements previous visualizations by providing a temporal dimension, showing not just where regions stand in terms of life expectancy, but also how they have arrived there over time. This historical perspective is essential for understanding long-term trends and for forecasting future developments in global health.</w:t>
      </w:r>
      <w:r w:rsidRPr="005F0C58">
        <w:rPr>
          <w:lang w:val="en-GB"/>
        </w:rPr>
        <w:drawing>
          <wp:inline distT="0" distB="0" distL="0" distR="0" wp14:anchorId="39CF892F" wp14:editId="71A22528">
            <wp:extent cx="6215063" cy="2263140"/>
            <wp:effectExtent l="0" t="0" r="0" b="3810"/>
            <wp:docPr id="1925347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234" cy="2264659"/>
                    </a:xfrm>
                    <a:prstGeom prst="rect">
                      <a:avLst/>
                    </a:prstGeom>
                    <a:noFill/>
                    <a:ln>
                      <a:noFill/>
                    </a:ln>
                  </pic:spPr>
                </pic:pic>
              </a:graphicData>
            </a:graphic>
          </wp:inline>
        </w:drawing>
      </w:r>
    </w:p>
    <w:p w14:paraId="0CF663D5" w14:textId="77777777" w:rsidR="00A737EF" w:rsidRDefault="00A737EF"/>
    <w:sectPr w:rsidR="00A73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8626D"/>
    <w:multiLevelType w:val="multilevel"/>
    <w:tmpl w:val="9EA23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3220297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EF"/>
    <w:rsid w:val="005F0C58"/>
    <w:rsid w:val="00630ACB"/>
    <w:rsid w:val="00800F6A"/>
    <w:rsid w:val="00A73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3FA7"/>
  <w15:chartTrackingRefBased/>
  <w15:docId w15:val="{28B5D804-B04C-47D5-9427-E5742845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8971">
      <w:bodyDiv w:val="1"/>
      <w:marLeft w:val="0"/>
      <w:marRight w:val="0"/>
      <w:marTop w:val="0"/>
      <w:marBottom w:val="0"/>
      <w:divBdr>
        <w:top w:val="none" w:sz="0" w:space="0" w:color="auto"/>
        <w:left w:val="none" w:sz="0" w:space="0" w:color="auto"/>
        <w:bottom w:val="none" w:sz="0" w:space="0" w:color="auto"/>
        <w:right w:val="none" w:sz="0" w:space="0" w:color="auto"/>
      </w:divBdr>
    </w:div>
    <w:div w:id="8543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1340</Words>
  <Characters>7644</Characters>
  <Application>Microsoft Office Word</Application>
  <DocSecurity>0</DocSecurity>
  <Lines>63</Lines>
  <Paragraphs>17</Paragraphs>
  <ScaleCrop>false</ScaleCrop>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Amirthavarshini S</dc:creator>
  <cp:keywords/>
  <dc:description/>
  <cp:lastModifiedBy>Amirthavarshini S</cp:lastModifiedBy>
  <cp:revision>3</cp:revision>
  <dcterms:created xsi:type="dcterms:W3CDTF">2024-09-28T11:42:00Z</dcterms:created>
  <dcterms:modified xsi:type="dcterms:W3CDTF">2024-09-28T11:42:00Z</dcterms:modified>
</cp:coreProperties>
</file>