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7F86"/>
          <w:sz w:val="22"/>
        </w:rPr>
        <w:t>FINANCIAL DATA ANALYSIS</w:t>
      </w:r>
    </w:p>
    <w:p>
      <w:r>
        <w:rPr>
          <w:b/>
          <w:color w:val="17324D"/>
          <w:sz w:val="58"/>
        </w:rPr>
        <w:t>Post-Analysis Evaluation</w:t>
        <w:br/>
        <w:t>&amp; Reflective Reporting</w:t>
      </w:r>
    </w:p>
    <w:p>
      <w:r>
        <w:rPr>
          <w:sz w:val="30"/>
        </w:rPr>
        <w:t>TCS vs Infosys, HCLTech and Wipro</w:t>
      </w:r>
    </w:p>
    <w:p>
      <w:pPr>
        <w:spacing w:after="120" w:line="259" w:lineRule="auto"/>
      </w:pPr>
      <w:r>
        <w:rPr>
          <w:color w:val="334155"/>
          <w:sz w:val="19"/>
        </w:rPr>
        <w:t>Final evaluation of the five-week simulated equity-research workflow, covering strategic planning, financial data collection and cleaning, visualization, forecasting, and reflective assessment.</w:t>
      </w:r>
    </w:p>
    <w:tbl>
      <w:tblPr>
        <w:tblW w:type="auto" w:w="0"/>
        <w:tblLook w:firstColumn="1" w:firstRow="1" w:lastColumn="0" w:lastRow="0" w:noHBand="0" w:noVBand="1" w:val="04A0"/>
      </w:tblPr>
      <w:tblGrid>
        <w:gridCol w:w="10166"/>
      </w:tblGrid>
      <w:tr>
        <w:tc>
          <w:tcPr>
            <w:tcW w:type="dxa" w:w="10166"/>
            <w:shd w:fill="EEF4F7"/>
          </w:tcPr>
          <w:p>
            <w:r>
              <w:rPr>
                <w:b/>
                <w:color w:val="007F86"/>
              </w:rPr>
              <w:t>Engagement context</w:t>
            </w:r>
          </w:p>
          <w:p>
            <w:r>
              <w:rPr>
                <w:color w:val="334155"/>
                <w:sz w:val="18"/>
              </w:rPr>
              <w:t>The project is a structured internship simulation. Week 5 evaluates the process and professional learning; it does not introduce a new investment recommendation and is not investment advice.</w:t>
            </w:r>
          </w:p>
        </w:tc>
      </w:tr>
    </w:tbl>
    <w:p>
      <w:pPr>
        <w:spacing w:after="120" w:line="259" w:lineRule="auto"/>
      </w:pPr>
      <w:r>
        <w:rPr>
          <w:color w:val="334155"/>
          <w:sz w:val="19"/>
        </w:rPr>
        <w:t>Data cut-off carried from earlier work: Q1 FY27 results, quarter ended 30 June 2026.</w:t>
      </w:r>
    </w:p>
    <w:p>
      <w:r>
        <w:br w:type="page"/>
      </w:r>
    </w:p>
    <w:p>
      <w:pPr>
        <w:spacing w:before="160" w:after="100"/>
      </w:pPr>
      <w:r>
        <w:rPr>
          <w:b/>
          <w:color w:val="17324D"/>
          <w:sz w:val="32"/>
        </w:rPr>
        <w:t>1. Executive Summary</w:t>
      </w:r>
    </w:p>
    <w:p>
      <w:pPr>
        <w:spacing w:after="120" w:line="259" w:lineRule="auto"/>
      </w:pPr>
      <w:r>
        <w:rPr>
          <w:color w:val="334155"/>
          <w:sz w:val="19"/>
        </w:rPr>
        <w:t>The project progressed from an explicit equity-research question into a complete financial-data workflow. Week 1 defined the question, hypotheses, risk framework and five-week plan. Week 2 converted those requirements into a governed dataset. Week 3 translated the dataset into decision-oriented visualizations. Week 4 tested forecasting candidates using time-ordered validation. Week 5 evaluates the full chain.</w:t>
      </w:r>
    </w:p>
    <w:p>
      <w:pPr>
        <w:spacing w:after="120" w:line="259" w:lineRule="auto"/>
      </w:pPr>
      <w:r>
        <w:rPr>
          <w:color w:val="334155"/>
          <w:sz w:val="19"/>
        </w:rPr>
        <w:t>The strongest outcome was analytical discipline. The workflow did not treat a complete table as automatically reliable, a polished chart as automatically comparable, or a complex model as automatically better. Source hierarchy, reconciliation flags, basis notes and out-of-sample error were treated as part of the analysis.</w:t>
      </w:r>
    </w:p>
    <w:p>
      <w:pPr>
        <w:spacing w:after="120" w:line="259" w:lineRule="auto"/>
      </w:pPr>
      <w:r>
        <w:rPr>
          <w:color w:val="334155"/>
          <w:sz w:val="19"/>
        </w:rPr>
        <w:t>The most important limitation was the short quarterly history: 13 common observations per issuer. That constraint reduced statistical power and made aggressive machine-learning approaches difficult to justify. The forecasting work therefore emphasized simple baselines and low-parameter time-series specifications.</w:t>
      </w:r>
    </w:p>
    <w:p>
      <w:pPr>
        <w:pStyle w:val="ListBullet"/>
        <w:spacing w:after="60"/>
      </w:pPr>
      <w:r>
        <w:t>The original objectives were broadly met, with the constant-currency requirement only partially achievable across the full peer history because issuer definitions were not fully synchronized.</w:t>
      </w:r>
    </w:p>
    <w:p>
      <w:pPr>
        <w:pStyle w:val="ListBullet"/>
        <w:spacing w:after="60"/>
      </w:pPr>
      <w:r>
        <w:t>The data-quality stage created the largest reliability improvement by exposing reporting-basis differences and source conflicts before downstream work.</w:t>
      </w:r>
    </w:p>
    <w:p>
      <w:pPr>
        <w:pStyle w:val="ListBullet"/>
        <w:spacing w:after="60"/>
      </w:pPr>
      <w:r>
        <w:t>The visualization stage improved communication by separating scale, relative growth, profitability and current issuer-defined metrics.</w:t>
      </w:r>
    </w:p>
    <w:p>
      <w:pPr>
        <w:pStyle w:val="ListBullet"/>
        <w:spacing w:after="60"/>
      </w:pPr>
      <w:r>
        <w:t>The forecasting stage demonstrated that simple models can outperform or match more complex candidates when the sample is small.</w:t>
      </w:r>
    </w:p>
    <w:p>
      <w:pPr>
        <w:pStyle w:val="ListBullet"/>
        <w:spacing w:after="60"/>
      </w:pPr>
      <w:r>
        <w:t>The next iteration should prioritize more history and better aligned economic drivers before adding model complexity.</w:t>
      </w:r>
    </w:p>
    <w:tbl>
      <w:tblPr>
        <w:tblW w:type="auto" w:w="0"/>
        <w:tblLook w:firstColumn="1" w:firstRow="1" w:lastColumn="0" w:lastRow="0" w:noHBand="0" w:noVBand="1" w:val="04A0"/>
      </w:tblPr>
      <w:tblGrid>
        <w:gridCol w:w="10166"/>
      </w:tblGrid>
      <w:tr>
        <w:tc>
          <w:tcPr>
            <w:tcW w:type="dxa" w:w="10166"/>
            <w:shd w:fill="EEF4F7"/>
          </w:tcPr>
          <w:p>
            <w:r>
              <w:rPr>
                <w:b/>
                <w:color w:val="007F86"/>
              </w:rPr>
              <w:t>Overall judgement</w:t>
            </w:r>
          </w:p>
          <w:p>
            <w:r>
              <w:rPr>
                <w:color w:val="334155"/>
                <w:sz w:val="18"/>
              </w:rPr>
              <w:t>The internship project succeeded as a controlled junior-analyst workflow. Its strongest contribution is repeatability, traceability and disciplined handling of uncertainty.</w:t>
            </w:r>
          </w:p>
        </w:tc>
      </w:tr>
    </w:tbl>
    <w:p>
      <w:r>
        <w:br w:type="page"/>
      </w:r>
    </w:p>
    <w:p>
      <w:pPr>
        <w:spacing w:before="160" w:after="100"/>
      </w:pPr>
      <w:r>
        <w:rPr>
          <w:b/>
          <w:color w:val="17324D"/>
          <w:sz w:val="32"/>
        </w:rPr>
        <w:t>2. Original Objectives vs Final Outcome</w:t>
      </w:r>
    </w:p>
    <w:tbl>
      <w:tblPr>
        <w:tblW w:type="auto" w:w="0"/>
        <w:jc w:val="center"/>
        <w:tblLook w:firstColumn="1" w:firstRow="1" w:lastColumn="0" w:lastRow="0" w:noHBand="0" w:noVBand="1" w:val="04A0"/>
      </w:tblPr>
      <w:tblGrid>
        <w:gridCol w:w="2541"/>
        <w:gridCol w:w="2541"/>
        <w:gridCol w:w="2541"/>
        <w:gridCol w:w="2541"/>
      </w:tblGrid>
      <w:tr>
        <w:tc>
          <w:tcPr>
            <w:tcW w:type="dxa" w:w="792"/>
            <w:shd w:fill="17324D"/>
          </w:tcPr>
          <w:p>
            <w:pPr>
              <w:jc w:val="center"/>
            </w:pPr>
            <w:r>
              <w:rPr>
                <w:b/>
                <w:color w:val="FFFFFF"/>
                <w:sz w:val="16"/>
              </w:rPr>
              <w:t>Objective</w:t>
            </w:r>
          </w:p>
        </w:tc>
        <w:tc>
          <w:tcPr>
            <w:tcW w:type="dxa" w:w="2880"/>
            <w:shd w:fill="17324D"/>
          </w:tcPr>
          <w:p>
            <w:pPr>
              <w:jc w:val="center"/>
            </w:pPr>
            <w:r>
              <w:rPr>
                <w:b/>
                <w:color w:val="FFFFFF"/>
                <w:sz w:val="16"/>
              </w:rPr>
              <w:t>Success measure</w:t>
            </w:r>
          </w:p>
        </w:tc>
        <w:tc>
          <w:tcPr>
            <w:tcW w:type="dxa" w:w="1728"/>
            <w:shd w:fill="17324D"/>
          </w:tcPr>
          <w:p>
            <w:pPr>
              <w:jc w:val="center"/>
            </w:pPr>
            <w:r>
              <w:rPr>
                <w:b/>
                <w:color w:val="FFFFFF"/>
                <w:sz w:val="16"/>
              </w:rPr>
              <w:t>Outcome</w:t>
            </w:r>
          </w:p>
        </w:tc>
        <w:tc>
          <w:tcPr>
            <w:tcW w:type="dxa" w:w="5328"/>
            <w:shd w:fill="17324D"/>
          </w:tcPr>
          <w:p>
            <w:pPr>
              <w:jc w:val="center"/>
            </w:pPr>
            <w:r>
              <w:rPr>
                <w:b/>
                <w:color w:val="FFFFFF"/>
                <w:sz w:val="16"/>
              </w:rPr>
              <w:t>Assessment</w:t>
            </w:r>
          </w:p>
        </w:tc>
      </w:tr>
      <w:tr>
        <w:tc>
          <w:tcPr>
            <w:tcW w:type="dxa" w:w="792"/>
            <w:shd w:fill="F7FAFC"/>
          </w:tcPr>
          <w:p>
            <w:pPr>
              <w:jc w:val="left"/>
            </w:pPr>
            <w:r>
              <w:rPr>
                <w:color w:val="334155"/>
                <w:sz w:val="16"/>
              </w:rPr>
              <w:t>O1</w:t>
            </w:r>
          </w:p>
        </w:tc>
        <w:tc>
          <w:tcPr>
            <w:tcW w:type="dxa" w:w="2880"/>
            <w:shd w:fill="F7FAFC"/>
          </w:tcPr>
          <w:p>
            <w:pPr>
              <w:jc w:val="center"/>
            </w:pPr>
            <w:r>
              <w:rPr>
                <w:color w:val="334155"/>
                <w:sz w:val="16"/>
              </w:rPr>
              <w:t>At least 12 quarters with documented data</w:t>
            </w:r>
          </w:p>
        </w:tc>
        <w:tc>
          <w:tcPr>
            <w:tcW w:type="dxa" w:w="1728"/>
            <w:shd w:fill="F7FAFC"/>
          </w:tcPr>
          <w:p>
            <w:pPr>
              <w:jc w:val="center"/>
            </w:pPr>
            <w:r>
              <w:rPr>
                <w:color w:val="334155"/>
                <w:sz w:val="16"/>
              </w:rPr>
              <w:t>Achieved</w:t>
            </w:r>
          </w:p>
        </w:tc>
        <w:tc>
          <w:tcPr>
            <w:tcW w:type="dxa" w:w="5328"/>
            <w:shd w:fill="F7FAFC"/>
          </w:tcPr>
          <w:p>
            <w:pPr>
              <w:jc w:val="center"/>
            </w:pPr>
            <w:r>
              <w:rPr>
                <w:color w:val="334155"/>
                <w:sz w:val="16"/>
              </w:rPr>
              <w:t>13 common quarters; 52 company-quarter observations.</w:t>
            </w:r>
          </w:p>
        </w:tc>
      </w:tr>
      <w:tr>
        <w:tc>
          <w:tcPr>
            <w:tcW w:type="dxa" w:w="792"/>
          </w:tcPr>
          <w:p>
            <w:pPr>
              <w:jc w:val="left"/>
            </w:pPr>
            <w:r>
              <w:rPr>
                <w:color w:val="334155"/>
                <w:sz w:val="16"/>
              </w:rPr>
              <w:t>O2</w:t>
            </w:r>
          </w:p>
        </w:tc>
        <w:tc>
          <w:tcPr>
            <w:tcW w:type="dxa" w:w="2880"/>
          </w:tcPr>
          <w:p>
            <w:pPr>
              <w:jc w:val="center"/>
            </w:pPr>
            <w:r>
              <w:rPr>
                <w:color w:val="334155"/>
                <w:sz w:val="16"/>
              </w:rPr>
              <w:t>Separate currency effects from underlying growth</w:t>
            </w:r>
          </w:p>
        </w:tc>
        <w:tc>
          <w:tcPr>
            <w:tcW w:type="dxa" w:w="1728"/>
          </w:tcPr>
          <w:p>
            <w:pPr>
              <w:jc w:val="center"/>
            </w:pPr>
            <w:r>
              <w:rPr>
                <w:color w:val="334155"/>
                <w:sz w:val="16"/>
              </w:rPr>
              <w:t>Partially achieved</w:t>
            </w:r>
          </w:p>
        </w:tc>
        <w:tc>
          <w:tcPr>
            <w:tcW w:type="dxa" w:w="5328"/>
          </w:tcPr>
          <w:p>
            <w:pPr>
              <w:jc w:val="center"/>
            </w:pPr>
            <w:r>
              <w:rPr>
                <w:color w:val="334155"/>
                <w:sz w:val="16"/>
              </w:rPr>
              <w:t>Standardized INR history; issuer-specific constant-currency disclosures retained, but no fully synchronized CC history for every peer.</w:t>
            </w:r>
          </w:p>
        </w:tc>
      </w:tr>
      <w:tr>
        <w:tc>
          <w:tcPr>
            <w:tcW w:type="dxa" w:w="792"/>
            <w:shd w:fill="F7FAFC"/>
          </w:tcPr>
          <w:p>
            <w:pPr>
              <w:jc w:val="left"/>
            </w:pPr>
            <w:r>
              <w:rPr>
                <w:color w:val="334155"/>
                <w:sz w:val="16"/>
              </w:rPr>
              <w:t>O3</w:t>
            </w:r>
          </w:p>
        </w:tc>
        <w:tc>
          <w:tcPr>
            <w:tcW w:type="dxa" w:w="2880"/>
            <w:shd w:fill="F7FAFC"/>
          </w:tcPr>
          <w:p>
            <w:pPr>
              <w:jc w:val="center"/>
            </w:pPr>
            <w:r>
              <w:rPr>
                <w:color w:val="334155"/>
                <w:sz w:val="16"/>
              </w:rPr>
              <w:t>Benchmark TCS on growth, profitability, productivity and forward indicators</w:t>
            </w:r>
          </w:p>
        </w:tc>
        <w:tc>
          <w:tcPr>
            <w:tcW w:type="dxa" w:w="1728"/>
            <w:shd w:fill="F7FAFC"/>
          </w:tcPr>
          <w:p>
            <w:pPr>
              <w:jc w:val="center"/>
            </w:pPr>
            <w:r>
              <w:rPr>
                <w:color w:val="334155"/>
                <w:sz w:val="16"/>
              </w:rPr>
              <w:t>Substantially achieved</w:t>
            </w:r>
          </w:p>
        </w:tc>
        <w:tc>
          <w:tcPr>
            <w:tcW w:type="dxa" w:w="5328"/>
            <w:shd w:fill="F7FAFC"/>
          </w:tcPr>
          <w:p>
            <w:pPr>
              <w:jc w:val="center"/>
            </w:pPr>
            <w:r>
              <w:rPr>
                <w:color w:val="334155"/>
                <w:sz w:val="16"/>
              </w:rPr>
              <w:t>Peer comparisons completed; some workforce and TCV fields lacked common historical coverage.</w:t>
            </w:r>
          </w:p>
        </w:tc>
      </w:tr>
      <w:tr>
        <w:tc>
          <w:tcPr>
            <w:tcW w:type="dxa" w:w="792"/>
          </w:tcPr>
          <w:p>
            <w:pPr>
              <w:jc w:val="left"/>
            </w:pPr>
            <w:r>
              <w:rPr>
                <w:color w:val="334155"/>
                <w:sz w:val="16"/>
              </w:rPr>
              <w:t>O4</w:t>
            </w:r>
          </w:p>
        </w:tc>
        <w:tc>
          <w:tcPr>
            <w:tcW w:type="dxa" w:w="2880"/>
          </w:tcPr>
          <w:p>
            <w:pPr>
              <w:jc w:val="center"/>
            </w:pPr>
            <w:r>
              <w:rPr>
                <w:color w:val="334155"/>
                <w:sz w:val="16"/>
              </w:rPr>
              <w:t>Transparent forecasts with back-testing</w:t>
            </w:r>
          </w:p>
        </w:tc>
        <w:tc>
          <w:tcPr>
            <w:tcW w:type="dxa" w:w="1728"/>
          </w:tcPr>
          <w:p>
            <w:pPr>
              <w:jc w:val="center"/>
            </w:pPr>
            <w:r>
              <w:rPr>
                <w:color w:val="334155"/>
                <w:sz w:val="16"/>
              </w:rPr>
              <w:t>Achieved</w:t>
            </w:r>
          </w:p>
        </w:tc>
        <w:tc>
          <w:tcPr>
            <w:tcW w:type="dxa" w:w="5328"/>
          </w:tcPr>
          <w:p>
            <w:pPr>
              <w:jc w:val="center"/>
            </w:pPr>
            <w:r>
              <w:rPr>
                <w:color w:val="334155"/>
                <w:sz w:val="16"/>
              </w:rPr>
              <w:t>Candidate models compared on a three-quarter time-ordered holdout; four-quarter forecast stage completed.</w:t>
            </w:r>
          </w:p>
        </w:tc>
      </w:tr>
      <w:tr>
        <w:tc>
          <w:tcPr>
            <w:tcW w:type="dxa" w:w="792"/>
            <w:shd w:fill="F7FAFC"/>
          </w:tcPr>
          <w:p>
            <w:pPr>
              <w:jc w:val="left"/>
            </w:pPr>
            <w:r>
              <w:rPr>
                <w:color w:val="334155"/>
                <w:sz w:val="16"/>
              </w:rPr>
              <w:t>O5</w:t>
            </w:r>
          </w:p>
        </w:tc>
        <w:tc>
          <w:tcPr>
            <w:tcW w:type="dxa" w:w="2880"/>
            <w:shd w:fill="F7FAFC"/>
          </w:tcPr>
          <w:p>
            <w:pPr>
              <w:jc w:val="center"/>
            </w:pPr>
            <w:r>
              <w:rPr>
                <w:color w:val="334155"/>
                <w:sz w:val="16"/>
              </w:rPr>
              <w:t>Evaluate the process and record lessons</w:t>
            </w:r>
          </w:p>
        </w:tc>
        <w:tc>
          <w:tcPr>
            <w:tcW w:type="dxa" w:w="1728"/>
            <w:shd w:fill="F7FAFC"/>
          </w:tcPr>
          <w:p>
            <w:pPr>
              <w:jc w:val="center"/>
            </w:pPr>
            <w:r>
              <w:rPr>
                <w:color w:val="334155"/>
                <w:sz w:val="16"/>
              </w:rPr>
              <w:t>Achieved</w:t>
            </w:r>
          </w:p>
        </w:tc>
        <w:tc>
          <w:tcPr>
            <w:tcW w:type="dxa" w:w="5328"/>
            <w:shd w:fill="F7FAFC"/>
          </w:tcPr>
          <w:p>
            <w:pPr>
              <w:jc w:val="center"/>
            </w:pPr>
            <w:r>
              <w:rPr>
                <w:color w:val="334155"/>
                <w:sz w:val="16"/>
              </w:rPr>
              <w:t>This report consolidates strengths, limitations, learning and recommendations.</w:t>
            </w:r>
          </w:p>
        </w:tc>
      </w:tr>
    </w:tbl>
    <w:p>
      <w:pPr>
        <w:spacing w:after="120" w:line="259" w:lineRule="auto"/>
      </w:pPr>
      <w:r>
        <w:rPr>
          <w:color w:val="334155"/>
          <w:sz w:val="19"/>
        </w:rPr>
        <w:t>The partial result on O2 is an example of a useful limitation. Rather than construct a synthetic common constant-currency history, the project preserved the issuer-specific measures and labelled the comparability constraint. This protects analytical integrity even when it means one objective cannot be fully completed.</w:t>
      </w:r>
    </w:p>
    <w:p>
      <w:r>
        <w:br w:type="page"/>
      </w:r>
    </w:p>
    <w:p>
      <w:pPr>
        <w:spacing w:before="160" w:after="100"/>
      </w:pPr>
      <w:r>
        <w:rPr>
          <w:b/>
          <w:color w:val="17324D"/>
          <w:sz w:val="32"/>
        </w:rPr>
        <w:t>3. Evaluation of the Analytical Process</w:t>
      </w:r>
    </w:p>
    <w:p>
      <w:pPr>
        <w:spacing w:after="120" w:line="259" w:lineRule="auto"/>
      </w:pPr>
      <w:r>
        <w:rPr>
          <w:color w:val="334155"/>
          <w:sz w:val="19"/>
        </w:rPr>
        <w:t>The project followed the dependency chain established in Week 1: research question → data requirements → cleaned panel → visualization → forecasting → evaluation.</w:t>
      </w:r>
    </w:p>
    <w:tbl>
      <w:tblPr>
        <w:tblW w:type="auto" w:w="0"/>
        <w:jc w:val="center"/>
        <w:tblLook w:firstColumn="1" w:firstRow="1" w:lastColumn="0" w:lastRow="0" w:noHBand="0" w:noVBand="1" w:val="04A0"/>
      </w:tblPr>
      <w:tblGrid>
        <w:gridCol w:w="3389"/>
        <w:gridCol w:w="3389"/>
        <w:gridCol w:w="3389"/>
      </w:tblGrid>
      <w:tr>
        <w:tc>
          <w:tcPr>
            <w:tcW w:type="dxa" w:w="1872"/>
            <w:shd w:fill="17324D"/>
          </w:tcPr>
          <w:p>
            <w:pPr>
              <w:jc w:val="center"/>
            </w:pPr>
            <w:r>
              <w:rPr>
                <w:b/>
                <w:color w:val="FFFFFF"/>
                <w:sz w:val="16"/>
              </w:rPr>
              <w:t>Area</w:t>
            </w:r>
          </w:p>
        </w:tc>
        <w:tc>
          <w:tcPr>
            <w:tcW w:type="dxa" w:w="5760"/>
            <w:shd w:fill="17324D"/>
          </w:tcPr>
          <w:p>
            <w:pPr>
              <w:jc w:val="center"/>
            </w:pPr>
            <w:r>
              <w:rPr>
                <w:b/>
                <w:color w:val="FFFFFF"/>
                <w:sz w:val="16"/>
              </w:rPr>
              <w:t>What worked</w:t>
            </w:r>
          </w:p>
        </w:tc>
        <w:tc>
          <w:tcPr>
            <w:tcW w:type="dxa" w:w="3456"/>
            <w:shd w:fill="17324D"/>
          </w:tcPr>
          <w:p>
            <w:pPr>
              <w:jc w:val="center"/>
            </w:pPr>
            <w:r>
              <w:rPr>
                <w:b/>
                <w:color w:val="FFFFFF"/>
                <w:sz w:val="16"/>
              </w:rPr>
              <w:t>Why it mattered</w:t>
            </w:r>
          </w:p>
        </w:tc>
      </w:tr>
      <w:tr>
        <w:tc>
          <w:tcPr>
            <w:tcW w:type="dxa" w:w="1872"/>
            <w:shd w:fill="F7FAFC"/>
          </w:tcPr>
          <w:p>
            <w:pPr>
              <w:jc w:val="left"/>
            </w:pPr>
            <w:r>
              <w:rPr>
                <w:color w:val="334155"/>
                <w:sz w:val="16"/>
              </w:rPr>
              <w:t>Problem framing</w:t>
            </w:r>
          </w:p>
        </w:tc>
        <w:tc>
          <w:tcPr>
            <w:tcW w:type="dxa" w:w="5760"/>
            <w:shd w:fill="F7FAFC"/>
          </w:tcPr>
          <w:p>
            <w:pPr>
              <w:jc w:val="center"/>
            </w:pPr>
            <w:r>
              <w:rPr>
                <w:color w:val="334155"/>
                <w:sz w:val="16"/>
              </w:rPr>
              <w:t>Explicit research question, hypotheses, risks and quality gates.</w:t>
            </w:r>
          </w:p>
        </w:tc>
        <w:tc>
          <w:tcPr>
            <w:tcW w:type="dxa" w:w="3456"/>
            <w:shd w:fill="F7FAFC"/>
          </w:tcPr>
          <w:p>
            <w:pPr>
              <w:jc w:val="center"/>
            </w:pPr>
            <w:r>
              <w:rPr>
                <w:color w:val="334155"/>
                <w:sz w:val="16"/>
              </w:rPr>
              <w:t>Reduced scope drift and clarified what had to be tested.</w:t>
            </w:r>
          </w:p>
        </w:tc>
      </w:tr>
      <w:tr>
        <w:tc>
          <w:tcPr>
            <w:tcW w:type="dxa" w:w="1872"/>
          </w:tcPr>
          <w:p>
            <w:pPr>
              <w:jc w:val="left"/>
            </w:pPr>
            <w:r>
              <w:rPr>
                <w:color w:val="334155"/>
                <w:sz w:val="16"/>
              </w:rPr>
              <w:t>Data governance</w:t>
            </w:r>
          </w:p>
        </w:tc>
        <w:tc>
          <w:tcPr>
            <w:tcW w:type="dxa" w:w="5760"/>
          </w:tcPr>
          <w:p>
            <w:pPr>
              <w:jc w:val="center"/>
            </w:pPr>
            <w:r>
              <w:rPr>
                <w:color w:val="334155"/>
                <w:sz w:val="16"/>
              </w:rPr>
              <w:t>Source hierarchy, unit standardization, fiscal-period controls and reconciliation flags.</w:t>
            </w:r>
          </w:p>
        </w:tc>
        <w:tc>
          <w:tcPr>
            <w:tcW w:type="dxa" w:w="3456"/>
          </w:tcPr>
          <w:p>
            <w:pPr>
              <w:jc w:val="center"/>
            </w:pPr>
            <w:r>
              <w:rPr>
                <w:color w:val="334155"/>
                <w:sz w:val="16"/>
              </w:rPr>
              <w:t>Improved auditability and reduced silent data errors.</w:t>
            </w:r>
          </w:p>
        </w:tc>
      </w:tr>
      <w:tr>
        <w:tc>
          <w:tcPr>
            <w:tcW w:type="dxa" w:w="1872"/>
            <w:shd w:fill="F7FAFC"/>
          </w:tcPr>
          <w:p>
            <w:pPr>
              <w:jc w:val="left"/>
            </w:pPr>
            <w:r>
              <w:rPr>
                <w:color w:val="334155"/>
                <w:sz w:val="16"/>
              </w:rPr>
              <w:t>Visualization</w:t>
            </w:r>
          </w:p>
        </w:tc>
        <w:tc>
          <w:tcPr>
            <w:tcW w:type="dxa" w:w="5760"/>
            <w:shd w:fill="F7FAFC"/>
          </w:tcPr>
          <w:p>
            <w:pPr>
              <w:jc w:val="center"/>
            </w:pPr>
            <w:r>
              <w:rPr>
                <w:color w:val="334155"/>
                <w:sz w:val="16"/>
              </w:rPr>
              <w:t>Purpose-built views for scale, relative growth, YoY growth and margins.</w:t>
            </w:r>
          </w:p>
        </w:tc>
        <w:tc>
          <w:tcPr>
            <w:tcW w:type="dxa" w:w="3456"/>
            <w:shd w:fill="F7FAFC"/>
          </w:tcPr>
          <w:p>
            <w:pPr>
              <w:jc w:val="center"/>
            </w:pPr>
            <w:r>
              <w:rPr>
                <w:color w:val="334155"/>
                <w:sz w:val="16"/>
              </w:rPr>
              <w:t>Improved communication and reduced one-chart-overload.</w:t>
            </w:r>
          </w:p>
        </w:tc>
      </w:tr>
      <w:tr>
        <w:tc>
          <w:tcPr>
            <w:tcW w:type="dxa" w:w="1872"/>
          </w:tcPr>
          <w:p>
            <w:pPr>
              <w:jc w:val="left"/>
            </w:pPr>
            <w:r>
              <w:rPr>
                <w:color w:val="334155"/>
                <w:sz w:val="16"/>
              </w:rPr>
              <w:t>Forecast validation</w:t>
            </w:r>
          </w:p>
        </w:tc>
        <w:tc>
          <w:tcPr>
            <w:tcW w:type="dxa" w:w="5760"/>
          </w:tcPr>
          <w:p>
            <w:pPr>
              <w:jc w:val="center"/>
            </w:pPr>
            <w:r>
              <w:rPr>
                <w:color w:val="334155"/>
                <w:sz w:val="16"/>
              </w:rPr>
              <w:t>Naive baseline, time-ordered holdout and error metrics.</w:t>
            </w:r>
          </w:p>
        </w:tc>
        <w:tc>
          <w:tcPr>
            <w:tcW w:type="dxa" w:w="3456"/>
          </w:tcPr>
          <w:p>
            <w:pPr>
              <w:jc w:val="center"/>
            </w:pPr>
            <w:r>
              <w:rPr>
                <w:color w:val="334155"/>
                <w:sz w:val="16"/>
              </w:rPr>
              <w:t>Reduced reliance on in-sample model fit.</w:t>
            </w:r>
          </w:p>
        </w:tc>
      </w:tr>
      <w:tr>
        <w:tc>
          <w:tcPr>
            <w:tcW w:type="dxa" w:w="1872"/>
            <w:shd w:fill="F7FAFC"/>
          </w:tcPr>
          <w:p>
            <w:pPr>
              <w:jc w:val="left"/>
            </w:pPr>
            <w:r>
              <w:rPr>
                <w:color w:val="334155"/>
                <w:sz w:val="16"/>
              </w:rPr>
              <w:t>Reproducibility</w:t>
            </w:r>
          </w:p>
        </w:tc>
        <w:tc>
          <w:tcPr>
            <w:tcW w:type="dxa" w:w="5760"/>
            <w:shd w:fill="F7FAFC"/>
          </w:tcPr>
          <w:p>
            <w:pPr>
              <w:jc w:val="center"/>
            </w:pPr>
            <w:r>
              <w:rPr>
                <w:color w:val="334155"/>
                <w:sz w:val="16"/>
              </w:rPr>
              <w:t>Python, notebooks, structured files and GitHub.</w:t>
            </w:r>
          </w:p>
        </w:tc>
        <w:tc>
          <w:tcPr>
            <w:tcW w:type="dxa" w:w="3456"/>
            <w:shd w:fill="F7FAFC"/>
          </w:tcPr>
          <w:p>
            <w:pPr>
              <w:jc w:val="center"/>
            </w:pPr>
            <w:r>
              <w:rPr>
                <w:color w:val="334155"/>
                <w:sz w:val="16"/>
              </w:rPr>
              <w:t>Allowed the technical workflow to be inspected and repeated.</w:t>
            </w:r>
          </w:p>
        </w:tc>
      </w:tr>
    </w:tbl>
    <w:p>
      <w:pPr>
        <w:spacing w:before="160" w:after="100"/>
      </w:pPr>
      <w:r>
        <w:rPr>
          <w:b/>
          <w:color w:val="007F86"/>
          <w:sz w:val="24"/>
        </w:rPr>
        <w:t>3.1 Weaknesses and improvements</w:t>
      </w:r>
    </w:p>
    <w:p>
      <w:pPr>
        <w:pStyle w:val="ListBullet"/>
        <w:spacing w:after="60"/>
      </w:pPr>
      <w:r>
        <w:t>Complete more historical primary-source reconciliation before treating the common historical panel as final.</w:t>
      </w:r>
    </w:p>
    <w:p>
      <w:pPr>
        <w:pStyle w:val="ListBullet"/>
        <w:spacing w:after="60"/>
      </w:pPr>
      <w:r>
        <w:t>Create a governed constant-currency history with issuer definition and publication-date metadata.</w:t>
      </w:r>
    </w:p>
    <w:p>
      <w:pPr>
        <w:pStyle w:val="ListBullet"/>
        <w:spacing w:after="60"/>
      </w:pPr>
      <w:r>
        <w:t>Move to rolling-origin validation as more quarters become available.</w:t>
      </w:r>
    </w:p>
    <w:p>
      <w:pPr>
        <w:pStyle w:val="ListBullet"/>
        <w:spacing w:after="60"/>
      </w:pPr>
      <w:r>
        <w:t>Add only predictors with sufficient historical coverage and publication timing aligned to the forecast date.</w:t>
      </w:r>
    </w:p>
    <w:p>
      <w:pPr>
        <w:pStyle w:val="ListBullet"/>
        <w:spacing w:after="60"/>
      </w:pPr>
      <w:r>
        <w:t>Use explicit base, upside and downside scenarios instead of relying on one point estimate.</w:t>
      </w:r>
    </w:p>
    <w:p>
      <w:r>
        <w:br w:type="page"/>
      </w:r>
    </w:p>
    <w:p>
      <w:pPr>
        <w:spacing w:before="160" w:after="100"/>
      </w:pPr>
      <w:r>
        <w:rPr>
          <w:b/>
          <w:color w:val="17324D"/>
          <w:sz w:val="32"/>
        </w:rPr>
        <w:t>4. Data Quality Lessons</w:t>
      </w:r>
    </w:p>
    <w:p>
      <w:pPr>
        <w:spacing w:after="120" w:line="259" w:lineRule="auto"/>
      </w:pPr>
      <w:r>
        <w:rPr>
          <w:color w:val="334155"/>
          <w:sz w:val="19"/>
        </w:rPr>
        <w:t>The central data lesson was that completeness is not the same as quality. The Week 2 process surfaced issues that directly influenced the Week 3 and Week 4 analytical treatment.</w:t>
      </w:r>
    </w:p>
    <w:tbl>
      <w:tblPr>
        <w:tblW w:type="auto" w:w="0"/>
        <w:jc w:val="center"/>
        <w:tblLook w:firstColumn="1" w:firstRow="1" w:lastColumn="0" w:lastRow="0" w:noHBand="0" w:noVBand="1" w:val="04A0"/>
      </w:tblPr>
      <w:tblGrid>
        <w:gridCol w:w="3389"/>
        <w:gridCol w:w="3389"/>
        <w:gridCol w:w="3389"/>
      </w:tblGrid>
      <w:tr>
        <w:tc>
          <w:tcPr>
            <w:tcW w:type="dxa" w:w="2232"/>
            <w:shd w:fill="17324D"/>
          </w:tcPr>
          <w:p>
            <w:pPr>
              <w:jc w:val="center"/>
            </w:pPr>
            <w:r>
              <w:rPr>
                <w:b/>
                <w:color w:val="FFFFFF"/>
                <w:sz w:val="16"/>
              </w:rPr>
              <w:t>Issue</w:t>
            </w:r>
          </w:p>
        </w:tc>
        <w:tc>
          <w:tcPr>
            <w:tcW w:type="dxa" w:w="4320"/>
            <w:shd w:fill="17324D"/>
          </w:tcPr>
          <w:p>
            <w:pPr>
              <w:jc w:val="center"/>
            </w:pPr>
            <w:r>
              <w:rPr>
                <w:b/>
                <w:color w:val="FFFFFF"/>
                <w:sz w:val="16"/>
              </w:rPr>
              <w:t>Why it mattered</w:t>
            </w:r>
          </w:p>
        </w:tc>
        <w:tc>
          <w:tcPr>
            <w:tcW w:type="dxa" w:w="4464"/>
            <w:shd w:fill="17324D"/>
          </w:tcPr>
          <w:p>
            <w:pPr>
              <w:jc w:val="center"/>
            </w:pPr>
            <w:r>
              <w:rPr>
                <w:b/>
                <w:color w:val="FFFFFF"/>
                <w:sz w:val="16"/>
              </w:rPr>
              <w:t>Final treatment</w:t>
            </w:r>
          </w:p>
        </w:tc>
      </w:tr>
      <w:tr>
        <w:tc>
          <w:tcPr>
            <w:tcW w:type="dxa" w:w="2232"/>
            <w:shd w:fill="F7FAFC"/>
          </w:tcPr>
          <w:p>
            <w:pPr>
              <w:jc w:val="left"/>
            </w:pPr>
            <w:r>
              <w:rPr>
                <w:color w:val="334155"/>
                <w:sz w:val="16"/>
              </w:rPr>
              <w:t>Conflicting values</w:t>
            </w:r>
          </w:p>
        </w:tc>
        <w:tc>
          <w:tcPr>
            <w:tcW w:type="dxa" w:w="4320"/>
            <w:shd w:fill="F7FAFC"/>
          </w:tcPr>
          <w:p>
            <w:pPr>
              <w:jc w:val="center"/>
            </w:pPr>
            <w:r>
              <w:rPr>
                <w:color w:val="334155"/>
                <w:sz w:val="16"/>
              </w:rPr>
              <w:t>Small current-quarter profit differences between structured history and issuer reporting.</w:t>
            </w:r>
          </w:p>
        </w:tc>
        <w:tc>
          <w:tcPr>
            <w:tcW w:type="dxa" w:w="4464"/>
            <w:shd w:fill="F7FAFC"/>
          </w:tcPr>
          <w:p>
            <w:pPr>
              <w:jc w:val="center"/>
            </w:pPr>
            <w:r>
              <w:rPr>
                <w:color w:val="334155"/>
                <w:sz w:val="16"/>
              </w:rPr>
              <w:t>Use issuer-validated values for current snapshots and preserve the reconciliation note.</w:t>
            </w:r>
          </w:p>
        </w:tc>
      </w:tr>
      <w:tr>
        <w:tc>
          <w:tcPr>
            <w:tcW w:type="dxa" w:w="2232"/>
          </w:tcPr>
          <w:p>
            <w:pPr>
              <w:jc w:val="left"/>
            </w:pPr>
            <w:r>
              <w:rPr>
                <w:color w:val="334155"/>
                <w:sz w:val="16"/>
              </w:rPr>
              <w:t>Different reporting bases</w:t>
            </w:r>
          </w:p>
        </w:tc>
        <w:tc>
          <w:tcPr>
            <w:tcW w:type="dxa" w:w="4320"/>
          </w:tcPr>
          <w:p>
            <w:pPr>
              <w:jc w:val="center"/>
            </w:pPr>
            <w:r>
              <w:rPr>
                <w:color w:val="334155"/>
                <w:sz w:val="16"/>
              </w:rPr>
              <w:t>Wipro current margin is IT Services; peer operating/EBIT measures differ.</w:t>
            </w:r>
          </w:p>
        </w:tc>
        <w:tc>
          <w:tcPr>
            <w:tcW w:type="dxa" w:w="4464"/>
          </w:tcPr>
          <w:p>
            <w:pPr>
              <w:jc w:val="center"/>
            </w:pPr>
            <w:r>
              <w:rPr>
                <w:color w:val="334155"/>
                <w:sz w:val="16"/>
              </w:rPr>
              <w:t>Carry the basis into labels and avoid silent mixing.</w:t>
            </w:r>
          </w:p>
        </w:tc>
      </w:tr>
      <w:tr>
        <w:tc>
          <w:tcPr>
            <w:tcW w:type="dxa" w:w="2232"/>
            <w:shd w:fill="F7FAFC"/>
          </w:tcPr>
          <w:p>
            <w:pPr>
              <w:jc w:val="left"/>
            </w:pPr>
            <w:r>
              <w:rPr>
                <w:color w:val="334155"/>
                <w:sz w:val="16"/>
              </w:rPr>
              <w:t>Period labels</w:t>
            </w:r>
          </w:p>
        </w:tc>
        <w:tc>
          <w:tcPr>
            <w:tcW w:type="dxa" w:w="4320"/>
            <w:shd w:fill="F7FAFC"/>
          </w:tcPr>
          <w:p>
            <w:pPr>
              <w:jc w:val="center"/>
            </w:pPr>
            <w:r>
              <w:rPr>
                <w:color w:val="334155"/>
                <w:sz w:val="16"/>
              </w:rPr>
              <w:t>Secondary sources can contain stale or incorrect quarter labels.</w:t>
            </w:r>
          </w:p>
        </w:tc>
        <w:tc>
          <w:tcPr>
            <w:tcW w:type="dxa" w:w="4464"/>
            <w:shd w:fill="F7FAFC"/>
          </w:tcPr>
          <w:p>
            <w:pPr>
              <w:jc w:val="center"/>
            </w:pPr>
            <w:r>
              <w:rPr>
                <w:color w:val="334155"/>
                <w:sz w:val="16"/>
              </w:rPr>
              <w:t>Verify period-end dates against issuer disclosures.</w:t>
            </w:r>
          </w:p>
        </w:tc>
      </w:tr>
      <w:tr>
        <w:tc>
          <w:tcPr>
            <w:tcW w:type="dxa" w:w="2232"/>
          </w:tcPr>
          <w:p>
            <w:pPr>
              <w:jc w:val="left"/>
            </w:pPr>
            <w:r>
              <w:rPr>
                <w:color w:val="334155"/>
                <w:sz w:val="16"/>
              </w:rPr>
              <w:t>Insufficient KPI precision</w:t>
            </w:r>
          </w:p>
        </w:tc>
        <w:tc>
          <w:tcPr>
            <w:tcW w:type="dxa" w:w="4320"/>
          </w:tcPr>
          <w:p>
            <w:pPr>
              <w:jc w:val="center"/>
            </w:pPr>
            <w:r>
              <w:rPr>
                <w:color w:val="334155"/>
                <w:sz w:val="16"/>
              </w:rPr>
              <w:t>Some workforce disclosures were thresholds rather than exact values.</w:t>
            </w:r>
          </w:p>
        </w:tc>
        <w:tc>
          <w:tcPr>
            <w:tcW w:type="dxa" w:w="4464"/>
          </w:tcPr>
          <w:p>
            <w:pPr>
              <w:jc w:val="center"/>
            </w:pPr>
            <w:r>
              <w:rPr>
                <w:color w:val="334155"/>
                <w:sz w:val="16"/>
              </w:rPr>
              <w:t>Do not infer a precise productivity denominator.</w:t>
            </w:r>
          </w:p>
        </w:tc>
      </w:tr>
      <w:tr>
        <w:tc>
          <w:tcPr>
            <w:tcW w:type="dxa" w:w="2232"/>
            <w:shd w:fill="F7FAFC"/>
          </w:tcPr>
          <w:p>
            <w:pPr>
              <w:jc w:val="left"/>
            </w:pPr>
            <w:r>
              <w:rPr>
                <w:color w:val="334155"/>
                <w:sz w:val="16"/>
              </w:rPr>
              <w:t>Look-ahead risk</w:t>
            </w:r>
          </w:p>
        </w:tc>
        <w:tc>
          <w:tcPr>
            <w:tcW w:type="dxa" w:w="4320"/>
            <w:shd w:fill="F7FAFC"/>
          </w:tcPr>
          <w:p>
            <w:pPr>
              <w:jc w:val="center"/>
            </w:pPr>
            <w:r>
              <w:rPr>
                <w:color w:val="334155"/>
                <w:sz w:val="16"/>
              </w:rPr>
              <w:t>Later-published information can contaminate a historical forecast.</w:t>
            </w:r>
          </w:p>
        </w:tc>
        <w:tc>
          <w:tcPr>
            <w:tcW w:type="dxa" w:w="4464"/>
            <w:shd w:fill="F7FAFC"/>
          </w:tcPr>
          <w:p>
            <w:pPr>
              <w:jc w:val="center"/>
            </w:pPr>
            <w:r>
              <w:rPr>
                <w:color w:val="334155"/>
                <w:sz w:val="16"/>
              </w:rPr>
              <w:t>Keep Q1 FY27 as the information boundary.</w:t>
            </w:r>
          </w:p>
        </w:tc>
      </w:tr>
    </w:tbl>
    <w:tbl>
      <w:tblPr>
        <w:tblW w:type="auto" w:w="0"/>
        <w:tblLook w:firstColumn="1" w:firstRow="1" w:lastColumn="0" w:lastRow="0" w:noHBand="0" w:noVBand="1" w:val="04A0"/>
      </w:tblPr>
      <w:tblGrid>
        <w:gridCol w:w="10166"/>
      </w:tblGrid>
      <w:tr>
        <w:tc>
          <w:tcPr>
            <w:tcW w:type="dxa" w:w="10166"/>
            <w:shd w:fill="EEF4F7"/>
          </w:tcPr>
          <w:p>
            <w:r>
              <w:rPr>
                <w:b/>
                <w:color w:val="007F86"/>
              </w:rPr>
              <w:t>Professional lesson</w:t>
            </w:r>
          </w:p>
          <w:p>
            <w:r>
              <w:rPr>
                <w:color w:val="334155"/>
                <w:sz w:val="18"/>
              </w:rPr>
              <w:t>The standard moved from “Is the number available?” to “Is the number traceable, comparable and valid for this analytical use?”</w:t>
            </w:r>
          </w:p>
        </w:tc>
      </w:tr>
    </w:tbl>
    <w:p>
      <w:r>
        <w:br w:type="page"/>
      </w:r>
    </w:p>
    <w:p>
      <w:pPr>
        <w:spacing w:before="160" w:after="100"/>
      </w:pPr>
      <w:r>
        <w:rPr>
          <w:b/>
          <w:color w:val="17324D"/>
          <w:sz w:val="32"/>
        </w:rPr>
        <w:t>5. Visualization and Forecasting Evaluation</w:t>
      </w:r>
    </w:p>
    <w:p>
      <w:pPr>
        <w:spacing w:before="160" w:after="100"/>
      </w:pPr>
      <w:r>
        <w:rPr>
          <w:b/>
          <w:color w:val="007F86"/>
          <w:sz w:val="24"/>
        </w:rPr>
        <w:t>5.1 Visualization stage</w:t>
      </w:r>
    </w:p>
    <w:p>
      <w:pPr>
        <w:pStyle w:val="ListBullet"/>
        <w:spacing w:after="60"/>
      </w:pPr>
      <w:r>
        <w:t>Absolute revenue charts established company scale; indexed revenue isolated relative expansion from a common starting point.</w:t>
      </w:r>
    </w:p>
    <w:p>
      <w:pPr>
        <w:pStyle w:val="ListBullet"/>
        <w:spacing w:after="60"/>
      </w:pPr>
      <w:r>
        <w:t>YoY growth reduced the noise that can arise from quarter-to-quarter seasonality.</w:t>
      </w:r>
    </w:p>
    <w:p>
      <w:pPr>
        <w:pStyle w:val="ListBullet"/>
        <w:spacing w:after="60"/>
      </w:pPr>
      <w:r>
        <w:t>Standardized historical margin charts were kept separate from current issuer-defined operating/EBIT margin comparisons.</w:t>
      </w:r>
    </w:p>
    <w:p>
      <w:pPr>
        <w:pStyle w:val="ListBullet"/>
        <w:spacing w:after="60"/>
      </w:pPr>
      <w:r>
        <w:t>Basis notes were integrated into the report so visual clarity did not imply stronger comparability than the data supported.</w:t>
      </w:r>
    </w:p>
    <w:p>
      <w:pPr>
        <w:spacing w:before="160" w:after="100"/>
      </w:pPr>
      <w:r>
        <w:rPr>
          <w:b/>
          <w:color w:val="007F86"/>
          <w:sz w:val="24"/>
        </w:rPr>
        <w:t>5.2 Forecasting stage</w:t>
      </w:r>
    </w:p>
    <w:tbl>
      <w:tblPr>
        <w:tblW w:type="auto" w:w="0"/>
        <w:jc w:val="center"/>
        <w:tblLook w:firstColumn="1" w:firstRow="1" w:lastColumn="0" w:lastRow="0" w:noHBand="0" w:noVBand="1" w:val="04A0"/>
      </w:tblPr>
      <w:tblGrid>
        <w:gridCol w:w="2033"/>
        <w:gridCol w:w="2033"/>
        <w:gridCol w:w="2033"/>
        <w:gridCol w:w="2033"/>
        <w:gridCol w:w="2033"/>
      </w:tblGrid>
      <w:tr>
        <w:tc>
          <w:tcPr>
            <w:tcW w:type="dxa" w:w="1440"/>
            <w:shd w:fill="17324D"/>
          </w:tcPr>
          <w:p>
            <w:pPr>
              <w:jc w:val="center"/>
            </w:pPr>
            <w:r>
              <w:rPr>
                <w:b/>
                <w:color w:val="FFFFFF"/>
                <w:sz w:val="15"/>
              </w:rPr>
              <w:t>Company</w:t>
            </w:r>
          </w:p>
        </w:tc>
        <w:tc>
          <w:tcPr>
            <w:tcW w:type="dxa" w:w="1872"/>
            <w:shd w:fill="17324D"/>
          </w:tcPr>
          <w:p>
            <w:pPr>
              <w:jc w:val="center"/>
            </w:pPr>
            <w:r>
              <w:rPr>
                <w:b/>
                <w:color w:val="FFFFFF"/>
                <w:sz w:val="15"/>
              </w:rPr>
              <w:t>Target</w:t>
            </w:r>
          </w:p>
        </w:tc>
        <w:tc>
          <w:tcPr>
            <w:tcW w:type="dxa" w:w="2088"/>
            <w:shd w:fill="17324D"/>
          </w:tcPr>
          <w:p>
            <w:pPr>
              <w:jc w:val="center"/>
            </w:pPr>
            <w:r>
              <w:rPr>
                <w:b/>
                <w:color w:val="FFFFFF"/>
                <w:sz w:val="15"/>
              </w:rPr>
              <w:t>Selected model</w:t>
            </w:r>
          </w:p>
        </w:tc>
        <w:tc>
          <w:tcPr>
            <w:tcW w:type="dxa" w:w="1800"/>
            <w:shd w:fill="17324D"/>
          </w:tcPr>
          <w:p>
            <w:pPr>
              <w:jc w:val="center"/>
            </w:pPr>
            <w:r>
              <w:rPr>
                <w:b/>
                <w:color w:val="FFFFFF"/>
                <w:sz w:val="15"/>
              </w:rPr>
              <w:t>Holdout MAE</w:t>
            </w:r>
          </w:p>
        </w:tc>
        <w:tc>
          <w:tcPr>
            <w:tcW w:type="dxa" w:w="1440"/>
            <w:shd w:fill="17324D"/>
          </w:tcPr>
          <w:p>
            <w:pPr>
              <w:jc w:val="center"/>
            </w:pPr>
            <w:r>
              <w:rPr>
                <w:b/>
                <w:color w:val="FFFFFF"/>
                <w:sz w:val="15"/>
              </w:rPr>
              <w:t>MAPE</w:t>
            </w:r>
          </w:p>
        </w:tc>
      </w:tr>
      <w:tr>
        <w:tc>
          <w:tcPr>
            <w:tcW w:type="dxa" w:w="1440"/>
            <w:shd w:fill="F7FAFC"/>
          </w:tcPr>
          <w:p>
            <w:pPr>
              <w:jc w:val="left"/>
            </w:pPr>
            <w:r>
              <w:rPr>
                <w:color w:val="334155"/>
                <w:sz w:val="15"/>
              </w:rPr>
              <w:t>TCS</w:t>
            </w:r>
          </w:p>
        </w:tc>
        <w:tc>
          <w:tcPr>
            <w:tcW w:type="dxa" w:w="1872"/>
            <w:shd w:fill="F7FAFC"/>
          </w:tcPr>
          <w:p>
            <w:pPr>
              <w:jc w:val="center"/>
            </w:pPr>
            <w:r>
              <w:rPr>
                <w:color w:val="334155"/>
                <w:sz w:val="15"/>
              </w:rPr>
              <w:t>Revenue</w:t>
            </w:r>
          </w:p>
        </w:tc>
        <w:tc>
          <w:tcPr>
            <w:tcW w:type="dxa" w:w="2088"/>
            <w:shd w:fill="F7FAFC"/>
          </w:tcPr>
          <w:p>
            <w:pPr>
              <w:jc w:val="center"/>
            </w:pPr>
            <w:r>
              <w:rPr>
                <w:color w:val="334155"/>
                <w:sz w:val="15"/>
              </w:rPr>
              <w:t>ARIMA(1,1,0)</w:t>
            </w:r>
          </w:p>
        </w:tc>
        <w:tc>
          <w:tcPr>
            <w:tcW w:type="dxa" w:w="1800"/>
            <w:shd w:fill="F7FAFC"/>
          </w:tcPr>
          <w:p>
            <w:pPr>
              <w:jc w:val="center"/>
            </w:pPr>
            <w:r>
              <w:rPr>
                <w:color w:val="334155"/>
                <w:sz w:val="15"/>
              </w:rPr>
              <w:t>₹2,825 Cr</w:t>
            </w:r>
          </w:p>
        </w:tc>
        <w:tc>
          <w:tcPr>
            <w:tcW w:type="dxa" w:w="1440"/>
            <w:shd w:fill="F7FAFC"/>
          </w:tcPr>
          <w:p>
            <w:pPr>
              <w:jc w:val="center"/>
            </w:pPr>
            <w:r>
              <w:rPr>
                <w:color w:val="334155"/>
                <w:sz w:val="15"/>
              </w:rPr>
              <w:t>3.97%</w:t>
            </w:r>
          </w:p>
        </w:tc>
      </w:tr>
      <w:tr>
        <w:tc>
          <w:tcPr>
            <w:tcW w:type="dxa" w:w="1440"/>
          </w:tcPr>
          <w:p>
            <w:pPr>
              <w:jc w:val="left"/>
            </w:pPr>
            <w:r>
              <w:rPr>
                <w:color w:val="334155"/>
                <w:sz w:val="15"/>
              </w:rPr>
              <w:t>Infosys</w:t>
            </w:r>
          </w:p>
        </w:tc>
        <w:tc>
          <w:tcPr>
            <w:tcW w:type="dxa" w:w="1872"/>
          </w:tcPr>
          <w:p>
            <w:pPr>
              <w:jc w:val="center"/>
            </w:pPr>
            <w:r>
              <w:rPr>
                <w:color w:val="334155"/>
                <w:sz w:val="15"/>
              </w:rPr>
              <w:t>Revenue</w:t>
            </w:r>
          </w:p>
        </w:tc>
        <w:tc>
          <w:tcPr>
            <w:tcW w:type="dxa" w:w="2088"/>
          </w:tcPr>
          <w:p>
            <w:pPr>
              <w:jc w:val="center"/>
            </w:pPr>
            <w:r>
              <w:rPr>
                <w:color w:val="334155"/>
                <w:sz w:val="15"/>
              </w:rPr>
              <w:t>ARIMA(1,1,0)</w:t>
            </w:r>
          </w:p>
        </w:tc>
        <w:tc>
          <w:tcPr>
            <w:tcW w:type="dxa" w:w="1800"/>
          </w:tcPr>
          <w:p>
            <w:pPr>
              <w:jc w:val="center"/>
            </w:pPr>
            <w:r>
              <w:rPr>
                <w:color w:val="334155"/>
                <w:sz w:val="15"/>
              </w:rPr>
              <w:t>₹760 Cr</w:t>
            </w:r>
          </w:p>
        </w:tc>
        <w:tc>
          <w:tcPr>
            <w:tcW w:type="dxa" w:w="1440"/>
          </w:tcPr>
          <w:p>
            <w:pPr>
              <w:jc w:val="center"/>
            </w:pPr>
            <w:r>
              <w:rPr>
                <w:color w:val="334155"/>
                <w:sz w:val="15"/>
              </w:rPr>
              <w:t>1.60%</w:t>
            </w:r>
          </w:p>
        </w:tc>
      </w:tr>
      <w:tr>
        <w:tc>
          <w:tcPr>
            <w:tcW w:type="dxa" w:w="1440"/>
            <w:shd w:fill="F7FAFC"/>
          </w:tcPr>
          <w:p>
            <w:pPr>
              <w:jc w:val="left"/>
            </w:pPr>
            <w:r>
              <w:rPr>
                <w:color w:val="334155"/>
                <w:sz w:val="15"/>
              </w:rPr>
              <w:t>HCLTech</w:t>
            </w:r>
          </w:p>
        </w:tc>
        <w:tc>
          <w:tcPr>
            <w:tcW w:type="dxa" w:w="1872"/>
            <w:shd w:fill="F7FAFC"/>
          </w:tcPr>
          <w:p>
            <w:pPr>
              <w:jc w:val="center"/>
            </w:pPr>
            <w:r>
              <w:rPr>
                <w:color w:val="334155"/>
                <w:sz w:val="15"/>
              </w:rPr>
              <w:t>Revenue</w:t>
            </w:r>
          </w:p>
        </w:tc>
        <w:tc>
          <w:tcPr>
            <w:tcW w:type="dxa" w:w="2088"/>
            <w:shd w:fill="F7FAFC"/>
          </w:tcPr>
          <w:p>
            <w:pPr>
              <w:jc w:val="center"/>
            </w:pPr>
            <w:r>
              <w:rPr>
                <w:color w:val="334155"/>
                <w:sz w:val="15"/>
              </w:rPr>
              <w:t>ARIMA(1,1,0)</w:t>
            </w:r>
          </w:p>
        </w:tc>
        <w:tc>
          <w:tcPr>
            <w:tcW w:type="dxa" w:w="1800"/>
            <w:shd w:fill="F7FAFC"/>
          </w:tcPr>
          <w:p>
            <w:pPr>
              <w:jc w:val="center"/>
            </w:pPr>
            <w:r>
              <w:rPr>
                <w:color w:val="334155"/>
                <w:sz w:val="15"/>
              </w:rPr>
              <w:t>₹985 Cr</w:t>
            </w:r>
          </w:p>
        </w:tc>
        <w:tc>
          <w:tcPr>
            <w:tcW w:type="dxa" w:w="1440"/>
            <w:shd w:fill="F7FAFC"/>
          </w:tcPr>
          <w:p>
            <w:pPr>
              <w:jc w:val="center"/>
            </w:pPr>
            <w:r>
              <w:rPr>
                <w:color w:val="334155"/>
                <w:sz w:val="15"/>
              </w:rPr>
              <w:t>2.89%</w:t>
            </w:r>
          </w:p>
        </w:tc>
      </w:tr>
      <w:tr>
        <w:tc>
          <w:tcPr>
            <w:tcW w:type="dxa" w:w="1440"/>
          </w:tcPr>
          <w:p>
            <w:pPr>
              <w:jc w:val="left"/>
            </w:pPr>
            <w:r>
              <w:rPr>
                <w:color w:val="334155"/>
                <w:sz w:val="15"/>
              </w:rPr>
              <w:t>Wipro</w:t>
            </w:r>
          </w:p>
        </w:tc>
        <w:tc>
          <w:tcPr>
            <w:tcW w:type="dxa" w:w="1872"/>
          </w:tcPr>
          <w:p>
            <w:pPr>
              <w:jc w:val="center"/>
            </w:pPr>
            <w:r>
              <w:rPr>
                <w:color w:val="334155"/>
                <w:sz w:val="15"/>
              </w:rPr>
              <w:t>Revenue</w:t>
            </w:r>
          </w:p>
        </w:tc>
        <w:tc>
          <w:tcPr>
            <w:tcW w:type="dxa" w:w="2088"/>
          </w:tcPr>
          <w:p>
            <w:pPr>
              <w:jc w:val="center"/>
            </w:pPr>
            <w:r>
              <w:rPr>
                <w:color w:val="334155"/>
                <w:sz w:val="15"/>
              </w:rPr>
              <w:t>Naive</w:t>
            </w:r>
          </w:p>
        </w:tc>
        <w:tc>
          <w:tcPr>
            <w:tcW w:type="dxa" w:w="1800"/>
          </w:tcPr>
          <w:p>
            <w:pPr>
              <w:jc w:val="center"/>
            </w:pPr>
            <w:r>
              <w:rPr>
                <w:color w:val="334155"/>
                <w:sz w:val="15"/>
              </w:rPr>
              <w:t>₹1,393 Cr</w:t>
            </w:r>
          </w:p>
        </w:tc>
        <w:tc>
          <w:tcPr>
            <w:tcW w:type="dxa" w:w="1440"/>
          </w:tcPr>
          <w:p>
            <w:pPr>
              <w:jc w:val="center"/>
            </w:pPr>
            <w:r>
              <w:rPr>
                <w:color w:val="334155"/>
                <w:sz w:val="15"/>
              </w:rPr>
              <w:t>5.76%</w:t>
            </w:r>
          </w:p>
        </w:tc>
      </w:tr>
      <w:tr>
        <w:tc>
          <w:tcPr>
            <w:tcW w:type="dxa" w:w="1440"/>
            <w:shd w:fill="F7FAFC"/>
          </w:tcPr>
          <w:p>
            <w:pPr>
              <w:jc w:val="left"/>
            </w:pPr>
            <w:r>
              <w:rPr>
                <w:color w:val="334155"/>
                <w:sz w:val="15"/>
              </w:rPr>
              <w:t>TCS</w:t>
            </w:r>
          </w:p>
        </w:tc>
        <w:tc>
          <w:tcPr>
            <w:tcW w:type="dxa" w:w="1872"/>
            <w:shd w:fill="F7FAFC"/>
          </w:tcPr>
          <w:p>
            <w:pPr>
              <w:jc w:val="center"/>
            </w:pPr>
            <w:r>
              <w:rPr>
                <w:color w:val="334155"/>
                <w:sz w:val="15"/>
              </w:rPr>
              <w:t>Operating margin</w:t>
            </w:r>
          </w:p>
        </w:tc>
        <w:tc>
          <w:tcPr>
            <w:tcW w:type="dxa" w:w="2088"/>
            <w:shd w:fill="F7FAFC"/>
          </w:tcPr>
          <w:p>
            <w:pPr>
              <w:jc w:val="center"/>
            </w:pPr>
            <w:r>
              <w:rPr>
                <w:color w:val="334155"/>
                <w:sz w:val="15"/>
              </w:rPr>
              <w:t>Naive</w:t>
            </w:r>
          </w:p>
        </w:tc>
        <w:tc>
          <w:tcPr>
            <w:tcW w:type="dxa" w:w="1800"/>
            <w:shd w:fill="F7FAFC"/>
          </w:tcPr>
          <w:p>
            <w:pPr>
              <w:jc w:val="center"/>
            </w:pPr>
            <w:r>
              <w:rPr>
                <w:color w:val="334155"/>
                <w:sz w:val="15"/>
              </w:rPr>
              <w:t>0.60 ppt</w:t>
            </w:r>
          </w:p>
        </w:tc>
        <w:tc>
          <w:tcPr>
            <w:tcW w:type="dxa" w:w="1440"/>
            <w:shd w:fill="F7FAFC"/>
          </w:tcPr>
          <w:p>
            <w:pPr>
              <w:jc w:val="center"/>
            </w:pPr>
            <w:r>
              <w:rPr>
                <w:color w:val="334155"/>
                <w:sz w:val="15"/>
              </w:rPr>
              <w:t>2.32%</w:t>
            </w:r>
          </w:p>
        </w:tc>
      </w:tr>
      <w:tr>
        <w:tc>
          <w:tcPr>
            <w:tcW w:type="dxa" w:w="1440"/>
          </w:tcPr>
          <w:p>
            <w:pPr>
              <w:jc w:val="left"/>
            </w:pPr>
            <w:r>
              <w:rPr>
                <w:color w:val="334155"/>
                <w:sz w:val="15"/>
              </w:rPr>
              <w:t>Infosys</w:t>
            </w:r>
          </w:p>
        </w:tc>
        <w:tc>
          <w:tcPr>
            <w:tcW w:type="dxa" w:w="1872"/>
          </w:tcPr>
          <w:p>
            <w:pPr>
              <w:jc w:val="center"/>
            </w:pPr>
            <w:r>
              <w:rPr>
                <w:color w:val="334155"/>
                <w:sz w:val="15"/>
              </w:rPr>
              <w:t>Operating margin</w:t>
            </w:r>
          </w:p>
        </w:tc>
        <w:tc>
          <w:tcPr>
            <w:tcW w:type="dxa" w:w="2088"/>
          </w:tcPr>
          <w:p>
            <w:pPr>
              <w:jc w:val="center"/>
            </w:pPr>
            <w:r>
              <w:rPr>
                <w:color w:val="334155"/>
                <w:sz w:val="15"/>
              </w:rPr>
              <w:t>Naive</w:t>
            </w:r>
          </w:p>
        </w:tc>
        <w:tc>
          <w:tcPr>
            <w:tcW w:type="dxa" w:w="1800"/>
          </w:tcPr>
          <w:p>
            <w:pPr>
              <w:jc w:val="center"/>
            </w:pPr>
            <w:r>
              <w:rPr>
                <w:color w:val="334155"/>
                <w:sz w:val="15"/>
              </w:rPr>
              <w:t>0.23 ppt</w:t>
            </w:r>
          </w:p>
        </w:tc>
        <w:tc>
          <w:tcPr>
            <w:tcW w:type="dxa" w:w="1440"/>
          </w:tcPr>
          <w:p>
            <w:pPr>
              <w:jc w:val="center"/>
            </w:pPr>
            <w:r>
              <w:rPr>
                <w:color w:val="334155"/>
                <w:sz w:val="15"/>
              </w:rPr>
              <w:t>0.98%</w:t>
            </w:r>
          </w:p>
        </w:tc>
      </w:tr>
      <w:tr>
        <w:tc>
          <w:tcPr>
            <w:tcW w:type="dxa" w:w="1440"/>
            <w:shd w:fill="F7FAFC"/>
          </w:tcPr>
          <w:p>
            <w:pPr>
              <w:jc w:val="left"/>
            </w:pPr>
            <w:r>
              <w:rPr>
                <w:color w:val="334155"/>
                <w:sz w:val="15"/>
              </w:rPr>
              <w:t>HCLTech</w:t>
            </w:r>
          </w:p>
        </w:tc>
        <w:tc>
          <w:tcPr>
            <w:tcW w:type="dxa" w:w="1872"/>
            <w:shd w:fill="F7FAFC"/>
          </w:tcPr>
          <w:p>
            <w:pPr>
              <w:jc w:val="center"/>
            </w:pPr>
            <w:r>
              <w:rPr>
                <w:color w:val="334155"/>
                <w:sz w:val="15"/>
              </w:rPr>
              <w:t>Operating margin</w:t>
            </w:r>
          </w:p>
        </w:tc>
        <w:tc>
          <w:tcPr>
            <w:tcW w:type="dxa" w:w="2088"/>
            <w:shd w:fill="F7FAFC"/>
          </w:tcPr>
          <w:p>
            <w:pPr>
              <w:jc w:val="center"/>
            </w:pPr>
            <w:r>
              <w:rPr>
                <w:color w:val="334155"/>
                <w:sz w:val="15"/>
              </w:rPr>
              <w:t>AutoReg(1)</w:t>
            </w:r>
          </w:p>
        </w:tc>
        <w:tc>
          <w:tcPr>
            <w:tcW w:type="dxa" w:w="1800"/>
            <w:shd w:fill="F7FAFC"/>
          </w:tcPr>
          <w:p>
            <w:pPr>
              <w:jc w:val="center"/>
            </w:pPr>
            <w:r>
              <w:rPr>
                <w:color w:val="334155"/>
                <w:sz w:val="15"/>
              </w:rPr>
              <w:t>0.69 ppt</w:t>
            </w:r>
          </w:p>
        </w:tc>
        <w:tc>
          <w:tcPr>
            <w:tcW w:type="dxa" w:w="1440"/>
            <w:shd w:fill="F7FAFC"/>
          </w:tcPr>
          <w:p>
            <w:pPr>
              <w:jc w:val="center"/>
            </w:pPr>
            <w:r>
              <w:rPr>
                <w:color w:val="334155"/>
                <w:sz w:val="15"/>
              </w:rPr>
              <w:t>3.21%</w:t>
            </w:r>
          </w:p>
        </w:tc>
      </w:tr>
      <w:tr>
        <w:tc>
          <w:tcPr>
            <w:tcW w:type="dxa" w:w="1440"/>
          </w:tcPr>
          <w:p>
            <w:pPr>
              <w:jc w:val="left"/>
            </w:pPr>
            <w:r>
              <w:rPr>
                <w:color w:val="334155"/>
                <w:sz w:val="15"/>
              </w:rPr>
              <w:t>Wipro</w:t>
            </w:r>
          </w:p>
        </w:tc>
        <w:tc>
          <w:tcPr>
            <w:tcW w:type="dxa" w:w="1872"/>
          </w:tcPr>
          <w:p>
            <w:pPr>
              <w:jc w:val="center"/>
            </w:pPr>
            <w:r>
              <w:rPr>
                <w:color w:val="334155"/>
                <w:sz w:val="15"/>
              </w:rPr>
              <w:t>Operating margin</w:t>
            </w:r>
          </w:p>
        </w:tc>
        <w:tc>
          <w:tcPr>
            <w:tcW w:type="dxa" w:w="2088"/>
          </w:tcPr>
          <w:p>
            <w:pPr>
              <w:jc w:val="center"/>
            </w:pPr>
            <w:r>
              <w:rPr>
                <w:color w:val="334155"/>
                <w:sz w:val="15"/>
              </w:rPr>
              <w:t>Naive</w:t>
            </w:r>
          </w:p>
        </w:tc>
        <w:tc>
          <w:tcPr>
            <w:tcW w:type="dxa" w:w="1800"/>
          </w:tcPr>
          <w:p>
            <w:pPr>
              <w:jc w:val="center"/>
            </w:pPr>
            <w:r>
              <w:rPr>
                <w:color w:val="334155"/>
                <w:sz w:val="15"/>
              </w:rPr>
              <w:t>0.78 ppt</w:t>
            </w:r>
          </w:p>
        </w:tc>
        <w:tc>
          <w:tcPr>
            <w:tcW w:type="dxa" w:w="1440"/>
          </w:tcPr>
          <w:p>
            <w:pPr>
              <w:jc w:val="center"/>
            </w:pPr>
            <w:r>
              <w:rPr>
                <w:color w:val="334155"/>
                <w:sz w:val="15"/>
              </w:rPr>
              <w:t>4.10%</w:t>
            </w:r>
          </w:p>
        </w:tc>
      </w:tr>
    </w:tbl>
    <w:p>
      <w:pPr>
        <w:spacing w:after="120" w:line="259" w:lineRule="auto"/>
      </w:pPr>
      <w:r>
        <w:rPr>
          <w:color w:val="334155"/>
          <w:sz w:val="19"/>
        </w:rPr>
        <w:t>The forecasting result reinforced an important modelling principle: complexity is not proof of predictive value. A naive recent-level benchmark remained the selected specification for several margin targets and for Wipro revenue, while ARIMA(1,1,0) performed better on the selected revenue holdout for TCS, Infosys and HCLTech. The final choice therefore followed validation evidence rather than algorithmic sophistication.</w:t>
      </w:r>
    </w:p>
    <w:p>
      <w:r>
        <w:br w:type="page"/>
      </w:r>
    </w:p>
    <w:p>
      <w:pPr>
        <w:spacing w:before="160" w:after="100"/>
      </w:pPr>
      <w:r>
        <w:rPr>
          <w:b/>
          <w:color w:val="17324D"/>
          <w:sz w:val="32"/>
        </w:rPr>
        <w:t>6. Professional Learning and Development</w:t>
      </w:r>
    </w:p>
    <w:tbl>
      <w:tblPr>
        <w:tblW w:type="auto" w:w="0"/>
        <w:jc w:val="center"/>
        <w:tblLook w:firstColumn="1" w:firstRow="1" w:lastColumn="0" w:lastRow="0" w:noHBand="0" w:noVBand="1" w:val="04A0"/>
      </w:tblPr>
      <w:tblGrid>
        <w:gridCol w:w="5083"/>
        <w:gridCol w:w="5083"/>
      </w:tblGrid>
      <w:tr>
        <w:tc>
          <w:tcPr>
            <w:tcW w:type="dxa" w:w="2304"/>
            <w:shd w:fill="17324D"/>
          </w:tcPr>
          <w:p>
            <w:pPr>
              <w:jc w:val="center"/>
            </w:pPr>
            <w:r>
              <w:rPr>
                <w:b/>
                <w:color w:val="FFFFFF"/>
                <w:sz w:val="16"/>
              </w:rPr>
              <w:t>Capability</w:t>
            </w:r>
          </w:p>
        </w:tc>
        <w:tc>
          <w:tcPr>
            <w:tcW w:type="dxa" w:w="8352"/>
            <w:shd w:fill="17324D"/>
          </w:tcPr>
          <w:p>
            <w:pPr>
              <w:jc w:val="center"/>
            </w:pPr>
            <w:r>
              <w:rPr>
                <w:b/>
                <w:color w:val="FFFFFF"/>
                <w:sz w:val="16"/>
              </w:rPr>
              <w:t>Development</w:t>
            </w:r>
          </w:p>
        </w:tc>
      </w:tr>
      <w:tr>
        <w:tc>
          <w:tcPr>
            <w:tcW w:type="dxa" w:w="2304"/>
            <w:shd w:fill="F7FAFC"/>
          </w:tcPr>
          <w:p>
            <w:pPr>
              <w:jc w:val="left"/>
            </w:pPr>
            <w:r>
              <w:rPr>
                <w:color w:val="334155"/>
                <w:sz w:val="16"/>
              </w:rPr>
              <w:t>Financial research</w:t>
            </w:r>
          </w:p>
        </w:tc>
        <w:tc>
          <w:tcPr>
            <w:tcW w:type="dxa" w:w="8352"/>
            <w:shd w:fill="F7FAFC"/>
          </w:tcPr>
          <w:p>
            <w:pPr>
              <w:jc w:val="center"/>
            </w:pPr>
            <w:r>
              <w:rPr>
                <w:color w:val="334155"/>
                <w:sz w:val="16"/>
              </w:rPr>
              <w:t>Understanding issuer definitions, filing hierarchy and evidence tracing.</w:t>
            </w:r>
          </w:p>
        </w:tc>
      </w:tr>
      <w:tr>
        <w:tc>
          <w:tcPr>
            <w:tcW w:type="dxa" w:w="2304"/>
          </w:tcPr>
          <w:p>
            <w:pPr>
              <w:jc w:val="left"/>
            </w:pPr>
            <w:r>
              <w:rPr>
                <w:color w:val="334155"/>
                <w:sz w:val="16"/>
              </w:rPr>
              <w:t>Data cleaning</w:t>
            </w:r>
          </w:p>
        </w:tc>
        <w:tc>
          <w:tcPr>
            <w:tcW w:type="dxa" w:w="8352"/>
          </w:tcPr>
          <w:p>
            <w:pPr>
              <w:jc w:val="center"/>
            </w:pPr>
            <w:r>
              <w:rPr>
                <w:color w:val="334155"/>
                <w:sz w:val="16"/>
              </w:rPr>
              <w:t>Standardizing units and periods while retaining exception notes and source lineage.</w:t>
            </w:r>
          </w:p>
        </w:tc>
      </w:tr>
      <w:tr>
        <w:tc>
          <w:tcPr>
            <w:tcW w:type="dxa" w:w="2304"/>
            <w:shd w:fill="F7FAFC"/>
          </w:tcPr>
          <w:p>
            <w:pPr>
              <w:jc w:val="left"/>
            </w:pPr>
            <w:r>
              <w:rPr>
                <w:color w:val="334155"/>
                <w:sz w:val="16"/>
              </w:rPr>
              <w:t>Visualization</w:t>
            </w:r>
          </w:p>
        </w:tc>
        <w:tc>
          <w:tcPr>
            <w:tcW w:type="dxa" w:w="8352"/>
            <w:shd w:fill="F7FAFC"/>
          </w:tcPr>
          <w:p>
            <w:pPr>
              <w:jc w:val="center"/>
            </w:pPr>
            <w:r>
              <w:rPr>
                <w:color w:val="334155"/>
                <w:sz w:val="16"/>
              </w:rPr>
              <w:t>Choosing charts around business questions and writing the insight behind the figure.</w:t>
            </w:r>
          </w:p>
        </w:tc>
      </w:tr>
      <w:tr>
        <w:tc>
          <w:tcPr>
            <w:tcW w:type="dxa" w:w="2304"/>
          </w:tcPr>
          <w:p>
            <w:pPr>
              <w:jc w:val="left"/>
            </w:pPr>
            <w:r>
              <w:rPr>
                <w:color w:val="334155"/>
                <w:sz w:val="16"/>
              </w:rPr>
              <w:t>Forecasting</w:t>
            </w:r>
          </w:p>
        </w:tc>
        <w:tc>
          <w:tcPr>
            <w:tcW w:type="dxa" w:w="8352"/>
          </w:tcPr>
          <w:p>
            <w:pPr>
              <w:jc w:val="center"/>
            </w:pPr>
            <w:r>
              <w:rPr>
                <w:color w:val="334155"/>
                <w:sz w:val="16"/>
              </w:rPr>
              <w:t>Applying baselines, temporal validation, error metrics and model comparison.</w:t>
            </w:r>
          </w:p>
        </w:tc>
      </w:tr>
      <w:tr>
        <w:tc>
          <w:tcPr>
            <w:tcW w:type="dxa" w:w="2304"/>
            <w:shd w:fill="F7FAFC"/>
          </w:tcPr>
          <w:p>
            <w:pPr>
              <w:jc w:val="left"/>
            </w:pPr>
            <w:r>
              <w:rPr>
                <w:color w:val="334155"/>
                <w:sz w:val="16"/>
              </w:rPr>
              <w:t>Python workflow</w:t>
            </w:r>
          </w:p>
        </w:tc>
        <w:tc>
          <w:tcPr>
            <w:tcW w:type="dxa" w:w="8352"/>
            <w:shd w:fill="F7FAFC"/>
          </w:tcPr>
          <w:p>
            <w:pPr>
              <w:jc w:val="center"/>
            </w:pPr>
            <w:r>
              <w:rPr>
                <w:color w:val="334155"/>
                <w:sz w:val="16"/>
              </w:rPr>
              <w:t>Connecting data, calculations, visual outputs and models reproducibly.</w:t>
            </w:r>
          </w:p>
        </w:tc>
      </w:tr>
      <w:tr>
        <w:tc>
          <w:tcPr>
            <w:tcW w:type="dxa" w:w="2304"/>
          </w:tcPr>
          <w:p>
            <w:pPr>
              <w:jc w:val="left"/>
            </w:pPr>
            <w:r>
              <w:rPr>
                <w:color w:val="334155"/>
                <w:sz w:val="16"/>
              </w:rPr>
              <w:t>Professional judgement</w:t>
            </w:r>
          </w:p>
        </w:tc>
        <w:tc>
          <w:tcPr>
            <w:tcW w:type="dxa" w:w="8352"/>
          </w:tcPr>
          <w:p>
            <w:pPr>
              <w:jc w:val="center"/>
            </w:pPr>
            <w:r>
              <w:rPr>
                <w:color w:val="334155"/>
                <w:sz w:val="16"/>
              </w:rPr>
              <w:t>Knowing when to flag, qualify or reject a metric instead of inventing precision.</w:t>
            </w:r>
          </w:p>
        </w:tc>
      </w:tr>
      <w:tr>
        <w:tc>
          <w:tcPr>
            <w:tcW w:type="dxa" w:w="2304"/>
            <w:shd w:fill="F7FAFC"/>
          </w:tcPr>
          <w:p>
            <w:pPr>
              <w:jc w:val="left"/>
            </w:pPr>
            <w:r>
              <w:rPr>
                <w:color w:val="334155"/>
                <w:sz w:val="16"/>
              </w:rPr>
              <w:t>GitHub workflow</w:t>
            </w:r>
          </w:p>
        </w:tc>
        <w:tc>
          <w:tcPr>
            <w:tcW w:type="dxa" w:w="8352"/>
            <w:shd w:fill="F7FAFC"/>
          </w:tcPr>
          <w:p>
            <w:pPr>
              <w:jc w:val="center"/>
            </w:pPr>
            <w:r>
              <w:rPr>
                <w:color w:val="334155"/>
                <w:sz w:val="16"/>
              </w:rPr>
              <w:t>Organizing data, notebooks, code and documentation into an inspectable project.</w:t>
            </w:r>
          </w:p>
        </w:tc>
      </w:tr>
    </w:tbl>
    <w:p>
      <w:pPr>
        <w:spacing w:after="120" w:line="259" w:lineRule="auto"/>
      </w:pPr>
      <w:r>
        <w:rPr>
          <w:color w:val="334155"/>
          <w:sz w:val="19"/>
        </w:rPr>
        <w:t>The project changed the focus from producing an answer to building a defensible process. That shift is particularly relevant to financial-data work because source definitions, time periods and reporting bases can materially affect conclusions.</w:t>
      </w:r>
    </w:p>
    <w:p>
      <w:r>
        <w:br w:type="page"/>
      </w:r>
    </w:p>
    <w:p>
      <w:pPr>
        <w:spacing w:before="160" w:after="100"/>
      </w:pPr>
      <w:r>
        <w:rPr>
          <w:b/>
          <w:color w:val="17324D"/>
          <w:sz w:val="32"/>
        </w:rPr>
        <w:t>7. Reflective Assessment</w:t>
      </w:r>
    </w:p>
    <w:p>
      <w:pPr>
        <w:spacing w:before="160" w:after="100"/>
      </w:pPr>
      <w:r>
        <w:rPr>
          <w:b/>
          <w:color w:val="007F86"/>
          <w:sz w:val="24"/>
        </w:rPr>
        <w:t>7.1 What surprised me</w:t>
      </w:r>
    </w:p>
    <w:p>
      <w:pPr>
        <w:pStyle w:val="ListBullet"/>
        <w:spacing w:after="60"/>
      </w:pPr>
      <w:r>
        <w:t>Data preparation required more judgement than expected because different published values were not always equivalent.</w:t>
      </w:r>
    </w:p>
    <w:p>
      <w:pPr>
        <w:pStyle w:val="ListBullet"/>
        <w:spacing w:after="60"/>
      </w:pPr>
      <w:r>
        <w:t>Visualization changed the questions I asked by making scale, relative growth and margin dynamics visible.</w:t>
      </w:r>
    </w:p>
    <w:p>
      <w:pPr>
        <w:pStyle w:val="ListBullet"/>
        <w:spacing w:after="60"/>
      </w:pPr>
      <w:r>
        <w:t>Simple forecasting baselines remained highly competitive despite the availability of more complex model classes.</w:t>
      </w:r>
    </w:p>
    <w:p>
      <w:pPr>
        <w:pStyle w:val="ListBullet"/>
        <w:spacing w:after="60"/>
      </w:pPr>
      <w:r>
        <w:t>A forecast becomes more useful when uncertainty is stated clearly rather than hidden behind a precise number.</w:t>
      </w:r>
    </w:p>
    <w:p>
      <w:pPr>
        <w:pStyle w:val="ListBullet"/>
        <w:spacing w:after="60"/>
      </w:pPr>
      <w:r>
        <w:t>GitHub encouraged better project discipline because the workflow had to be structured for another person to inspect.</w:t>
      </w:r>
    </w:p>
    <w:p>
      <w:pPr>
        <w:spacing w:before="160" w:after="100"/>
      </w:pPr>
      <w:r>
        <w:rPr>
          <w:b/>
          <w:color w:val="007F86"/>
          <w:sz w:val="24"/>
        </w:rPr>
        <w:t>7.2 What I would change at the start</w:t>
      </w:r>
    </w:p>
    <w:p>
      <w:pPr>
        <w:pStyle w:val="ListBullet"/>
        <w:spacing w:after="60"/>
      </w:pPr>
      <w:r>
        <w:t>Create the data dictionary and reporting-basis map before historical extraction.</w:t>
      </w:r>
    </w:p>
    <w:p>
      <w:pPr>
        <w:pStyle w:val="ListBullet"/>
        <w:spacing w:after="60"/>
      </w:pPr>
      <w:r>
        <w:t>Design the synchronized constant-currency history as a separate governed dataset.</w:t>
      </w:r>
    </w:p>
    <w:p>
      <w:pPr>
        <w:pStyle w:val="ListBullet"/>
        <w:spacing w:after="60"/>
      </w:pPr>
      <w:r>
        <w:t>Set up rolling-origin validation before model selection.</w:t>
      </w:r>
    </w:p>
    <w:p>
      <w:pPr>
        <w:pStyle w:val="ListBullet"/>
        <w:spacing w:after="60"/>
      </w:pPr>
      <w:r>
        <w:t>Capture publication dates for strategic KPIs so historical information sets can be reconstructed.</w:t>
      </w:r>
    </w:p>
    <w:p>
      <w:pPr>
        <w:pStyle w:val="ListBullet"/>
        <w:spacing w:after="60"/>
      </w:pPr>
      <w:r>
        <w:t>Introduce a formal do-not-use rule for incomplete or non-comparable disclosures.</w:t>
      </w:r>
    </w:p>
    <w:p>
      <w:r>
        <w:br w:type="page"/>
      </w:r>
    </w:p>
    <w:p>
      <w:pPr>
        <w:spacing w:before="160" w:after="100"/>
      </w:pPr>
      <w:r>
        <w:rPr>
          <w:b/>
          <w:color w:val="17324D"/>
          <w:sz w:val="32"/>
        </w:rPr>
        <w:t>8. Recommendations for the Next Iteration</w:t>
      </w:r>
    </w:p>
    <w:tbl>
      <w:tblPr>
        <w:tblW w:type="auto" w:w="0"/>
        <w:jc w:val="center"/>
        <w:tblLook w:firstColumn="1" w:firstRow="1" w:lastColumn="0" w:lastRow="0" w:noHBand="0" w:noVBand="1" w:val="04A0"/>
      </w:tblPr>
      <w:tblGrid>
        <w:gridCol w:w="2541"/>
        <w:gridCol w:w="2541"/>
        <w:gridCol w:w="2541"/>
        <w:gridCol w:w="2541"/>
      </w:tblGrid>
      <w:tr>
        <w:tc>
          <w:tcPr>
            <w:tcW w:type="dxa" w:w="504"/>
            <w:shd w:fill="17324D"/>
          </w:tcPr>
          <w:p>
            <w:pPr>
              <w:jc w:val="center"/>
            </w:pPr>
            <w:r>
              <w:rPr>
                <w:b/>
                <w:color w:val="FFFFFF"/>
                <w:sz w:val="15"/>
              </w:rPr>
              <w:t>#</w:t>
            </w:r>
          </w:p>
        </w:tc>
        <w:tc>
          <w:tcPr>
            <w:tcW w:type="dxa" w:w="2448"/>
            <w:shd w:fill="17324D"/>
          </w:tcPr>
          <w:p>
            <w:pPr>
              <w:jc w:val="center"/>
            </w:pPr>
            <w:r>
              <w:rPr>
                <w:b/>
                <w:color w:val="FFFFFF"/>
                <w:sz w:val="15"/>
              </w:rPr>
              <w:t>Recommendation</w:t>
            </w:r>
          </w:p>
        </w:tc>
        <w:tc>
          <w:tcPr>
            <w:tcW w:type="dxa" w:w="4968"/>
            <w:shd w:fill="17324D"/>
          </w:tcPr>
          <w:p>
            <w:pPr>
              <w:jc w:val="center"/>
            </w:pPr>
            <w:r>
              <w:rPr>
                <w:b/>
                <w:color w:val="FFFFFF"/>
                <w:sz w:val="15"/>
              </w:rPr>
              <w:t>Action</w:t>
            </w:r>
          </w:p>
        </w:tc>
        <w:tc>
          <w:tcPr>
            <w:tcW w:type="dxa" w:w="2880"/>
            <w:shd w:fill="17324D"/>
          </w:tcPr>
          <w:p>
            <w:pPr>
              <w:jc w:val="center"/>
            </w:pPr>
            <w:r>
              <w:rPr>
                <w:b/>
                <w:color w:val="FFFFFF"/>
                <w:sz w:val="15"/>
              </w:rPr>
              <w:t>Expected benefit</w:t>
            </w:r>
          </w:p>
        </w:tc>
      </w:tr>
      <w:tr>
        <w:tc>
          <w:tcPr>
            <w:tcW w:type="dxa" w:w="504"/>
            <w:shd w:fill="F7FAFC"/>
          </w:tcPr>
          <w:p>
            <w:pPr>
              <w:jc w:val="left"/>
            </w:pPr>
            <w:r>
              <w:rPr>
                <w:color w:val="334155"/>
                <w:sz w:val="15"/>
              </w:rPr>
              <w:t>1</w:t>
            </w:r>
          </w:p>
        </w:tc>
        <w:tc>
          <w:tcPr>
            <w:tcW w:type="dxa" w:w="2448"/>
            <w:shd w:fill="F7FAFC"/>
          </w:tcPr>
          <w:p>
            <w:pPr>
              <w:jc w:val="center"/>
            </w:pPr>
            <w:r>
              <w:rPr>
                <w:color w:val="334155"/>
                <w:sz w:val="15"/>
              </w:rPr>
              <w:t>Extend the quarterly history</w:t>
            </w:r>
          </w:p>
        </w:tc>
        <w:tc>
          <w:tcPr>
            <w:tcW w:type="dxa" w:w="4968"/>
            <w:shd w:fill="F7FAFC"/>
          </w:tcPr>
          <w:p>
            <w:pPr>
              <w:jc w:val="center"/>
            </w:pPr>
            <w:r>
              <w:rPr>
                <w:color w:val="334155"/>
                <w:sz w:val="15"/>
              </w:rPr>
              <w:t>Add each new quarter and reconcile to primary filings.</w:t>
            </w:r>
          </w:p>
        </w:tc>
        <w:tc>
          <w:tcPr>
            <w:tcW w:type="dxa" w:w="2880"/>
            <w:shd w:fill="F7FAFC"/>
          </w:tcPr>
          <w:p>
            <w:pPr>
              <w:jc w:val="center"/>
            </w:pPr>
            <w:r>
              <w:rPr>
                <w:color w:val="334155"/>
                <w:sz w:val="15"/>
              </w:rPr>
              <w:t>Improves statistical power and validation.</w:t>
            </w:r>
          </w:p>
        </w:tc>
      </w:tr>
      <w:tr>
        <w:tc>
          <w:tcPr>
            <w:tcW w:type="dxa" w:w="504"/>
          </w:tcPr>
          <w:p>
            <w:pPr>
              <w:jc w:val="left"/>
            </w:pPr>
            <w:r>
              <w:rPr>
                <w:color w:val="334155"/>
                <w:sz w:val="15"/>
              </w:rPr>
              <w:t>2</w:t>
            </w:r>
          </w:p>
        </w:tc>
        <w:tc>
          <w:tcPr>
            <w:tcW w:type="dxa" w:w="2448"/>
          </w:tcPr>
          <w:p>
            <w:pPr>
              <w:jc w:val="center"/>
            </w:pPr>
            <w:r>
              <w:rPr>
                <w:color w:val="334155"/>
                <w:sz w:val="15"/>
              </w:rPr>
              <w:t>Build a CC history</w:t>
            </w:r>
          </w:p>
        </w:tc>
        <w:tc>
          <w:tcPr>
            <w:tcW w:type="dxa" w:w="4968"/>
          </w:tcPr>
          <w:p>
            <w:pPr>
              <w:jc w:val="center"/>
            </w:pPr>
            <w:r>
              <w:rPr>
                <w:color w:val="334155"/>
                <w:sz w:val="15"/>
              </w:rPr>
              <w:t>Collect issuer-defined CC growth with basis and publication-date metadata.</w:t>
            </w:r>
          </w:p>
        </w:tc>
        <w:tc>
          <w:tcPr>
            <w:tcW w:type="dxa" w:w="2880"/>
          </w:tcPr>
          <w:p>
            <w:pPr>
              <w:jc w:val="center"/>
            </w:pPr>
            <w:r>
              <w:rPr>
                <w:color w:val="334155"/>
                <w:sz w:val="15"/>
              </w:rPr>
              <w:t>Separates demand from FX effects more reliably.</w:t>
            </w:r>
          </w:p>
        </w:tc>
      </w:tr>
      <w:tr>
        <w:tc>
          <w:tcPr>
            <w:tcW w:type="dxa" w:w="504"/>
            <w:shd w:fill="F7FAFC"/>
          </w:tcPr>
          <w:p>
            <w:pPr>
              <w:jc w:val="left"/>
            </w:pPr>
            <w:r>
              <w:rPr>
                <w:color w:val="334155"/>
                <w:sz w:val="15"/>
              </w:rPr>
              <w:t>3</w:t>
            </w:r>
          </w:p>
        </w:tc>
        <w:tc>
          <w:tcPr>
            <w:tcW w:type="dxa" w:w="2448"/>
            <w:shd w:fill="F7FAFC"/>
          </w:tcPr>
          <w:p>
            <w:pPr>
              <w:jc w:val="center"/>
            </w:pPr>
            <w:r>
              <w:rPr>
                <w:color w:val="334155"/>
                <w:sz w:val="15"/>
              </w:rPr>
              <w:t>Add economic drivers</w:t>
            </w:r>
          </w:p>
        </w:tc>
        <w:tc>
          <w:tcPr>
            <w:tcW w:type="dxa" w:w="4968"/>
            <w:shd w:fill="F7FAFC"/>
          </w:tcPr>
          <w:p>
            <w:pPr>
              <w:jc w:val="center"/>
            </w:pPr>
            <w:r>
              <w:rPr>
                <w:color w:val="334155"/>
                <w:sz w:val="15"/>
              </w:rPr>
              <w:t>Test aligned FX, TCV, headcount, attrition and selected cost indicators.</w:t>
            </w:r>
          </w:p>
        </w:tc>
        <w:tc>
          <w:tcPr>
            <w:tcW w:type="dxa" w:w="2880"/>
            <w:shd w:fill="F7FAFC"/>
          </w:tcPr>
          <w:p>
            <w:pPr>
              <w:jc w:val="center"/>
            </w:pPr>
            <w:r>
              <w:rPr>
                <w:color w:val="334155"/>
                <w:sz w:val="15"/>
              </w:rPr>
              <w:t>Makes forecasts more economically explainable.</w:t>
            </w:r>
          </w:p>
        </w:tc>
      </w:tr>
      <w:tr>
        <w:tc>
          <w:tcPr>
            <w:tcW w:type="dxa" w:w="504"/>
          </w:tcPr>
          <w:p>
            <w:pPr>
              <w:jc w:val="left"/>
            </w:pPr>
            <w:r>
              <w:rPr>
                <w:color w:val="334155"/>
                <w:sz w:val="15"/>
              </w:rPr>
              <w:t>4</w:t>
            </w:r>
          </w:p>
        </w:tc>
        <w:tc>
          <w:tcPr>
            <w:tcW w:type="dxa" w:w="2448"/>
          </w:tcPr>
          <w:p>
            <w:pPr>
              <w:jc w:val="center"/>
            </w:pPr>
            <w:r>
              <w:rPr>
                <w:color w:val="334155"/>
                <w:sz w:val="15"/>
              </w:rPr>
              <w:t>Use rolling-origin validation</w:t>
            </w:r>
          </w:p>
        </w:tc>
        <w:tc>
          <w:tcPr>
            <w:tcW w:type="dxa" w:w="4968"/>
          </w:tcPr>
          <w:p>
            <w:pPr>
              <w:jc w:val="center"/>
            </w:pPr>
            <w:r>
              <w:rPr>
                <w:color w:val="334155"/>
                <w:sz w:val="15"/>
              </w:rPr>
              <w:t>Repeat back-tests across several historical cut-points.</w:t>
            </w:r>
          </w:p>
        </w:tc>
        <w:tc>
          <w:tcPr>
            <w:tcW w:type="dxa" w:w="2880"/>
          </w:tcPr>
          <w:p>
            <w:pPr>
              <w:jc w:val="center"/>
            </w:pPr>
            <w:r>
              <w:rPr>
                <w:color w:val="334155"/>
                <w:sz w:val="15"/>
              </w:rPr>
              <w:t>Improves model-selection robustness.</w:t>
            </w:r>
          </w:p>
        </w:tc>
      </w:tr>
      <w:tr>
        <w:tc>
          <w:tcPr>
            <w:tcW w:type="dxa" w:w="504"/>
            <w:shd w:fill="F7FAFC"/>
          </w:tcPr>
          <w:p>
            <w:pPr>
              <w:jc w:val="left"/>
            </w:pPr>
            <w:r>
              <w:rPr>
                <w:color w:val="334155"/>
                <w:sz w:val="15"/>
              </w:rPr>
              <w:t>5</w:t>
            </w:r>
          </w:p>
        </w:tc>
        <w:tc>
          <w:tcPr>
            <w:tcW w:type="dxa" w:w="2448"/>
            <w:shd w:fill="F7FAFC"/>
          </w:tcPr>
          <w:p>
            <w:pPr>
              <w:jc w:val="center"/>
            </w:pPr>
            <w:r>
              <w:rPr>
                <w:color w:val="334155"/>
                <w:sz w:val="15"/>
              </w:rPr>
              <w:t>Use separate revenue/margin specifications</w:t>
            </w:r>
          </w:p>
        </w:tc>
        <w:tc>
          <w:tcPr>
            <w:tcW w:type="dxa" w:w="4968"/>
            <w:shd w:fill="F7FAFC"/>
          </w:tcPr>
          <w:p>
            <w:pPr>
              <w:jc w:val="center"/>
            </w:pPr>
            <w:r>
              <w:rPr>
                <w:color w:val="334155"/>
                <w:sz w:val="15"/>
              </w:rPr>
              <w:t>Permit different variables and models for each target.</w:t>
            </w:r>
          </w:p>
        </w:tc>
        <w:tc>
          <w:tcPr>
            <w:tcW w:type="dxa" w:w="2880"/>
            <w:shd w:fill="F7FAFC"/>
          </w:tcPr>
          <w:p>
            <w:pPr>
              <w:jc w:val="center"/>
            </w:pPr>
            <w:r>
              <w:rPr>
                <w:color w:val="334155"/>
                <w:sz w:val="15"/>
              </w:rPr>
              <w:t>Avoids assuming identical dynamics.</w:t>
            </w:r>
          </w:p>
        </w:tc>
      </w:tr>
      <w:tr>
        <w:tc>
          <w:tcPr>
            <w:tcW w:type="dxa" w:w="504"/>
          </w:tcPr>
          <w:p>
            <w:pPr>
              <w:jc w:val="left"/>
            </w:pPr>
            <w:r>
              <w:rPr>
                <w:color w:val="334155"/>
                <w:sz w:val="15"/>
              </w:rPr>
              <w:t>6</w:t>
            </w:r>
          </w:p>
        </w:tc>
        <w:tc>
          <w:tcPr>
            <w:tcW w:type="dxa" w:w="2448"/>
          </w:tcPr>
          <w:p>
            <w:pPr>
              <w:jc w:val="center"/>
            </w:pPr>
            <w:r>
              <w:rPr>
                <w:color w:val="334155"/>
                <w:sz w:val="15"/>
              </w:rPr>
              <w:t>Add scenario analysis</w:t>
            </w:r>
          </w:p>
        </w:tc>
        <w:tc>
          <w:tcPr>
            <w:tcW w:type="dxa" w:w="4968"/>
          </w:tcPr>
          <w:p>
            <w:pPr>
              <w:jc w:val="center"/>
            </w:pPr>
            <w:r>
              <w:rPr>
                <w:color w:val="334155"/>
                <w:sz w:val="15"/>
              </w:rPr>
              <w:t>Construct base, upside and downside paths.</w:t>
            </w:r>
          </w:p>
        </w:tc>
        <w:tc>
          <w:tcPr>
            <w:tcW w:type="dxa" w:w="2880"/>
          </w:tcPr>
          <w:p>
            <w:pPr>
              <w:jc w:val="center"/>
            </w:pPr>
            <w:r>
              <w:rPr>
                <w:color w:val="334155"/>
                <w:sz w:val="15"/>
              </w:rPr>
              <w:t>Communicates uncertainty more usefully.</w:t>
            </w:r>
          </w:p>
        </w:tc>
      </w:tr>
      <w:tr>
        <w:tc>
          <w:tcPr>
            <w:tcW w:type="dxa" w:w="504"/>
            <w:shd w:fill="F7FAFC"/>
          </w:tcPr>
          <w:p>
            <w:pPr>
              <w:jc w:val="left"/>
            </w:pPr>
            <w:r>
              <w:rPr>
                <w:color w:val="334155"/>
                <w:sz w:val="15"/>
              </w:rPr>
              <w:t>7</w:t>
            </w:r>
          </w:p>
        </w:tc>
        <w:tc>
          <w:tcPr>
            <w:tcW w:type="dxa" w:w="2448"/>
            <w:shd w:fill="F7FAFC"/>
          </w:tcPr>
          <w:p>
            <w:pPr>
              <w:jc w:val="center"/>
            </w:pPr>
            <w:r>
              <w:rPr>
                <w:color w:val="334155"/>
                <w:sz w:val="15"/>
              </w:rPr>
              <w:t>Automate quarterly refresh</w:t>
            </w:r>
          </w:p>
        </w:tc>
        <w:tc>
          <w:tcPr>
            <w:tcW w:type="dxa" w:w="4968"/>
            <w:shd w:fill="F7FAFC"/>
          </w:tcPr>
          <w:p>
            <w:pPr>
              <w:jc w:val="center"/>
            </w:pPr>
            <w:r>
              <w:rPr>
                <w:color w:val="334155"/>
                <w:sz w:val="15"/>
              </w:rPr>
              <w:t>Rerun QA, visuals and forecasts from the repository.</w:t>
            </w:r>
          </w:p>
        </w:tc>
        <w:tc>
          <w:tcPr>
            <w:tcW w:type="dxa" w:w="2880"/>
            <w:shd w:fill="F7FAFC"/>
          </w:tcPr>
          <w:p>
            <w:pPr>
              <w:jc w:val="center"/>
            </w:pPr>
            <w:r>
              <w:rPr>
                <w:color w:val="334155"/>
                <w:sz w:val="15"/>
              </w:rPr>
              <w:t>Reduces manual error and improves repeatability.</w:t>
            </w:r>
          </w:p>
        </w:tc>
      </w:tr>
    </w:tbl>
    <w:p>
      <w:r>
        <w:br w:type="page"/>
      </w:r>
    </w:p>
    <w:p>
      <w:pPr>
        <w:spacing w:before="160" w:after="100"/>
      </w:pPr>
      <w:r>
        <w:rPr>
          <w:b/>
          <w:color w:val="17324D"/>
          <w:sz w:val="32"/>
        </w:rPr>
        <w:t>9. Final Reflective Conclusion</w:t>
      </w:r>
    </w:p>
    <w:p>
      <w:pPr>
        <w:spacing w:after="120" w:line="259" w:lineRule="auto"/>
      </w:pPr>
      <w:r>
        <w:rPr>
          <w:color w:val="334155"/>
          <w:sz w:val="19"/>
        </w:rPr>
        <w:t>Looking across the complete workflow, the project developed from a broad strategic question into a controlled analytical process. The most valuable lesson was that financial analysis is a chain of decisions: the strength of the conclusion depends on the quality of the question, the definitions in the dataset, the validation process, the visual communication and the judgement applied to uncertainty.</w:t>
      </w:r>
    </w:p>
    <w:p>
      <w:pPr>
        <w:spacing w:after="120" w:line="259" w:lineRule="auto"/>
      </w:pPr>
      <w:r>
        <w:rPr>
          <w:color w:val="334155"/>
          <w:sz w:val="19"/>
        </w:rPr>
        <w:t>The project also showed that professional analysis includes documenting what cannot be concluded. The available history was not large enough to justify aggressive machine-learning claims, and several peer metrics were not perfectly comparable. Instead of hiding those constraints, the workflow used them to guide method selection and future recommendations.</w:t>
      </w:r>
    </w:p>
    <w:p>
      <w:pPr>
        <w:spacing w:after="120" w:line="259" w:lineRule="auto"/>
      </w:pPr>
      <w:r>
        <w:rPr>
          <w:color w:val="334155"/>
          <w:sz w:val="19"/>
        </w:rPr>
        <w:t>The professional outcome is therefore a reusable foundation. With more quarters, stronger constant-currency data and carefully aligned economic drivers, the same workflow can evolve into a stronger forecasting and financial-research process.</w:t>
      </w:r>
    </w:p>
    <w:tbl>
      <w:tblPr>
        <w:tblW w:type="auto" w:w="0"/>
        <w:tblLook w:firstColumn="1" w:firstRow="1" w:lastColumn="0" w:lastRow="0" w:noHBand="0" w:noVBand="1" w:val="04A0"/>
      </w:tblPr>
      <w:tblGrid>
        <w:gridCol w:w="10166"/>
      </w:tblGrid>
      <w:tr>
        <w:tc>
          <w:tcPr>
            <w:tcW w:type="dxa" w:w="10166"/>
            <w:shd w:fill="EEF4F7"/>
          </w:tcPr>
          <w:p>
            <w:r>
              <w:rPr>
                <w:b/>
                <w:color w:val="007F86"/>
              </w:rPr>
              <w:t>Final conclusion</w:t>
            </w:r>
          </w:p>
          <w:p>
            <w:r>
              <w:rPr>
                <w:color w:val="334155"/>
                <w:sz w:val="18"/>
              </w:rPr>
              <w:t>The internship project is a defensible analytical foundation rather than a finished investment model. Its strongest contribution is repeatability, transparency and disciplined handling of uncertainty.</w:t>
            </w:r>
          </w:p>
        </w:tc>
      </w:tr>
    </w:tbl>
    <w:p>
      <w:r>
        <w:br w:type="page"/>
      </w:r>
    </w:p>
    <w:p>
      <w:pPr>
        <w:spacing w:before="160" w:after="100"/>
      </w:pPr>
      <w:r>
        <w:rPr>
          <w:b/>
          <w:color w:val="17324D"/>
          <w:sz w:val="32"/>
        </w:rPr>
        <w:t>10. Project Closure Map</w:t>
      </w:r>
    </w:p>
    <w:tbl>
      <w:tblPr>
        <w:tblW w:type="auto" w:w="0"/>
        <w:jc w:val="center"/>
        <w:tblLook w:firstColumn="1" w:firstRow="1" w:lastColumn="0" w:lastRow="0" w:noHBand="0" w:noVBand="1" w:val="04A0"/>
      </w:tblPr>
      <w:tblGrid>
        <w:gridCol w:w="3389"/>
        <w:gridCol w:w="3389"/>
        <w:gridCol w:w="3389"/>
      </w:tblGrid>
      <w:tr>
        <w:tc>
          <w:tcPr>
            <w:tcW w:type="dxa" w:w="936"/>
            <w:shd w:fill="17324D"/>
          </w:tcPr>
          <w:p>
            <w:pPr>
              <w:jc w:val="center"/>
            </w:pPr>
            <w:r>
              <w:rPr>
                <w:b/>
                <w:color w:val="FFFFFF"/>
                <w:sz w:val="16"/>
              </w:rPr>
              <w:t>Week</w:t>
            </w:r>
          </w:p>
        </w:tc>
        <w:tc>
          <w:tcPr>
            <w:tcW w:type="dxa" w:w="3528"/>
            <w:shd w:fill="17324D"/>
          </w:tcPr>
          <w:p>
            <w:pPr>
              <w:jc w:val="center"/>
            </w:pPr>
            <w:r>
              <w:rPr>
                <w:b/>
                <w:color w:val="FFFFFF"/>
                <w:sz w:val="16"/>
              </w:rPr>
              <w:t>Deliverable</w:t>
            </w:r>
          </w:p>
        </w:tc>
        <w:tc>
          <w:tcPr>
            <w:tcW w:type="dxa" w:w="6264"/>
            <w:shd w:fill="17324D"/>
          </w:tcPr>
          <w:p>
            <w:pPr>
              <w:jc w:val="center"/>
            </w:pPr>
            <w:r>
              <w:rPr>
                <w:b/>
                <w:color w:val="FFFFFF"/>
                <w:sz w:val="16"/>
              </w:rPr>
              <w:t>Contribution</w:t>
            </w:r>
          </w:p>
        </w:tc>
      </w:tr>
      <w:tr>
        <w:tc>
          <w:tcPr>
            <w:tcW w:type="dxa" w:w="936"/>
            <w:shd w:fill="F7FAFC"/>
          </w:tcPr>
          <w:p>
            <w:pPr>
              <w:jc w:val="left"/>
            </w:pPr>
            <w:r>
              <w:rPr>
                <w:color w:val="334155"/>
                <w:sz w:val="16"/>
              </w:rPr>
              <w:t>Week 1</w:t>
            </w:r>
          </w:p>
        </w:tc>
        <w:tc>
          <w:tcPr>
            <w:tcW w:type="dxa" w:w="3528"/>
            <w:shd w:fill="F7FAFC"/>
          </w:tcPr>
          <w:p>
            <w:pPr>
              <w:jc w:val="center"/>
            </w:pPr>
            <w:r>
              <w:rPr>
                <w:color w:val="334155"/>
                <w:sz w:val="16"/>
              </w:rPr>
              <w:t>Strategic Financial Analysis &amp; Planning</w:t>
            </w:r>
          </w:p>
        </w:tc>
        <w:tc>
          <w:tcPr>
            <w:tcW w:type="dxa" w:w="6264"/>
            <w:shd w:fill="F7FAFC"/>
          </w:tcPr>
          <w:p>
            <w:pPr>
              <w:jc w:val="center"/>
            </w:pPr>
            <w:r>
              <w:rPr>
                <w:color w:val="334155"/>
                <w:sz w:val="16"/>
              </w:rPr>
              <w:t>Question, hypotheses, risks, methodology and delivery plan.</w:t>
            </w:r>
          </w:p>
        </w:tc>
      </w:tr>
      <w:tr>
        <w:tc>
          <w:tcPr>
            <w:tcW w:type="dxa" w:w="936"/>
          </w:tcPr>
          <w:p>
            <w:pPr>
              <w:jc w:val="left"/>
            </w:pPr>
            <w:r>
              <w:rPr>
                <w:color w:val="334155"/>
                <w:sz w:val="16"/>
              </w:rPr>
              <w:t>Week 2</w:t>
            </w:r>
          </w:p>
        </w:tc>
        <w:tc>
          <w:tcPr>
            <w:tcW w:type="dxa" w:w="3528"/>
          </w:tcPr>
          <w:p>
            <w:pPr>
              <w:jc w:val="center"/>
            </w:pPr>
            <w:r>
              <w:rPr>
                <w:color w:val="334155"/>
                <w:sz w:val="16"/>
              </w:rPr>
              <w:t>Financial Data Collection &amp; Cleaning</w:t>
            </w:r>
          </w:p>
        </w:tc>
        <w:tc>
          <w:tcPr>
            <w:tcW w:type="dxa" w:w="6264"/>
          </w:tcPr>
          <w:p>
            <w:pPr>
              <w:jc w:val="center"/>
            </w:pPr>
            <w:r>
              <w:rPr>
                <w:color w:val="334155"/>
                <w:sz w:val="16"/>
              </w:rPr>
              <w:t>Source hierarchy, cleaned panel, QA and reconciliation controls.</w:t>
            </w:r>
          </w:p>
        </w:tc>
      </w:tr>
      <w:tr>
        <w:tc>
          <w:tcPr>
            <w:tcW w:type="dxa" w:w="936"/>
            <w:shd w:fill="F7FAFC"/>
          </w:tcPr>
          <w:p>
            <w:pPr>
              <w:jc w:val="left"/>
            </w:pPr>
            <w:r>
              <w:rPr>
                <w:color w:val="334155"/>
                <w:sz w:val="16"/>
              </w:rPr>
              <w:t>Week 3</w:t>
            </w:r>
          </w:p>
        </w:tc>
        <w:tc>
          <w:tcPr>
            <w:tcW w:type="dxa" w:w="3528"/>
            <w:shd w:fill="F7FAFC"/>
          </w:tcPr>
          <w:p>
            <w:pPr>
              <w:jc w:val="center"/>
            </w:pPr>
            <w:r>
              <w:rPr>
                <w:color w:val="334155"/>
                <w:sz w:val="16"/>
              </w:rPr>
              <w:t>Financial Data Visualization &amp; Reporting</w:t>
            </w:r>
          </w:p>
        </w:tc>
        <w:tc>
          <w:tcPr>
            <w:tcW w:type="dxa" w:w="6264"/>
            <w:shd w:fill="F7FAFC"/>
          </w:tcPr>
          <w:p>
            <w:pPr>
              <w:jc w:val="center"/>
            </w:pPr>
            <w:r>
              <w:rPr>
                <w:color w:val="334155"/>
                <w:sz w:val="16"/>
              </w:rPr>
              <w:t>Scale, growth, profitability and peer visualizations.</w:t>
            </w:r>
          </w:p>
        </w:tc>
      </w:tr>
      <w:tr>
        <w:tc>
          <w:tcPr>
            <w:tcW w:type="dxa" w:w="936"/>
          </w:tcPr>
          <w:p>
            <w:pPr>
              <w:jc w:val="left"/>
            </w:pPr>
            <w:r>
              <w:rPr>
                <w:color w:val="334155"/>
                <w:sz w:val="16"/>
              </w:rPr>
              <w:t>Week 4</w:t>
            </w:r>
          </w:p>
        </w:tc>
        <w:tc>
          <w:tcPr>
            <w:tcW w:type="dxa" w:w="3528"/>
          </w:tcPr>
          <w:p>
            <w:pPr>
              <w:jc w:val="center"/>
            </w:pPr>
            <w:r>
              <w:rPr>
                <w:color w:val="334155"/>
                <w:sz w:val="16"/>
              </w:rPr>
              <w:t>Financial Forecasting &amp; Predictive Modelling</w:t>
            </w:r>
          </w:p>
        </w:tc>
        <w:tc>
          <w:tcPr>
            <w:tcW w:type="dxa" w:w="6264"/>
          </w:tcPr>
          <w:p>
            <w:pPr>
              <w:jc w:val="center"/>
            </w:pPr>
            <w:r>
              <w:rPr>
                <w:color w:val="334155"/>
                <w:sz w:val="16"/>
              </w:rPr>
              <w:t>Candidate models, temporal validation, errors and forecasts.</w:t>
            </w:r>
          </w:p>
        </w:tc>
      </w:tr>
      <w:tr>
        <w:tc>
          <w:tcPr>
            <w:tcW w:type="dxa" w:w="936"/>
            <w:shd w:fill="F7FAFC"/>
          </w:tcPr>
          <w:p>
            <w:pPr>
              <w:jc w:val="left"/>
            </w:pPr>
            <w:r>
              <w:rPr>
                <w:color w:val="334155"/>
                <w:sz w:val="16"/>
              </w:rPr>
              <w:t>Week 5</w:t>
            </w:r>
          </w:p>
        </w:tc>
        <w:tc>
          <w:tcPr>
            <w:tcW w:type="dxa" w:w="3528"/>
            <w:shd w:fill="F7FAFC"/>
          </w:tcPr>
          <w:p>
            <w:pPr>
              <w:jc w:val="center"/>
            </w:pPr>
            <w:r>
              <w:rPr>
                <w:color w:val="334155"/>
                <w:sz w:val="16"/>
              </w:rPr>
              <w:t>Post-Analysis Evaluation &amp; Reflective Reporting</w:t>
            </w:r>
          </w:p>
        </w:tc>
        <w:tc>
          <w:tcPr>
            <w:tcW w:type="dxa" w:w="6264"/>
            <w:shd w:fill="F7FAFC"/>
          </w:tcPr>
          <w:p>
            <w:pPr>
              <w:jc w:val="center"/>
            </w:pPr>
            <w:r>
              <w:rPr>
                <w:color w:val="334155"/>
                <w:sz w:val="16"/>
              </w:rPr>
              <w:t>Critical review, learning outcomes, limitations and future roadmap.</w:t>
            </w:r>
          </w:p>
        </w:tc>
      </w:tr>
    </w:tbl>
    <w:p>
      <w:pPr>
        <w:spacing w:after="120" w:line="259" w:lineRule="auto"/>
      </w:pPr>
      <w:r>
        <w:rPr>
          <w:color w:val="334155"/>
          <w:sz w:val="19"/>
        </w:rPr>
        <w:t>The Weeks 2–4 technical project is already maintained as a GitHub repository. This Week 5 report is the final closure document for the five-week internship sequence.</w:t>
      </w:r>
    </w:p>
    <w:tbl>
      <w:tblPr>
        <w:tblW w:type="auto" w:w="0"/>
        <w:tblLook w:firstColumn="1" w:firstRow="1" w:lastColumn="0" w:lastRow="0" w:noHBand="0" w:noVBand="1" w:val="04A0"/>
      </w:tblPr>
      <w:tblGrid>
        <w:gridCol w:w="10166"/>
      </w:tblGrid>
      <w:tr>
        <w:tc>
          <w:tcPr>
            <w:tcW w:type="dxa" w:w="10166"/>
            <w:shd w:fill="EEF4F7"/>
          </w:tcPr>
          <w:p>
            <w:r>
              <w:rPr>
                <w:b/>
                <w:color w:val="007F86"/>
              </w:rPr>
              <w:t>Disclaimer</w:t>
            </w:r>
          </w:p>
          <w:p>
            <w:r>
              <w:rPr>
                <w:color w:val="334155"/>
                <w:sz w:val="18"/>
              </w:rPr>
              <w:t>Educational internship simulation using public financial information. This report is reflective and analytical; it is not investment advice.</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TCS Peer Set — Post-Analysis Evaluation &amp; Reflective Reporting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YUVAINTERN  |  JUNIOR FINANCIAL DATA ANALYST  |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