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F4E78"/>
          <w:sz w:val="18"/>
        </w:rPr>
        <w:t>JUNIOR FINANCIAL DATA ANALYST INTERNSHIP</w:t>
      </w:r>
    </w:p>
    <w:p>
      <w:pPr>
        <w:pStyle w:val="Title"/>
      </w:pPr>
      <w:r>
        <w:t>Financial Data Collection</w:t>
        <w:br/>
        <w:t>&amp; Cleaning Process</w:t>
      </w:r>
    </w:p>
    <w:p>
      <w:r>
        <w:rPr>
          <w:b/>
          <w:color w:val="1F2937"/>
          <w:sz w:val="32"/>
        </w:rPr>
        <w:t>TCS vs Infosys, HCLTech and Wipro</w:t>
      </w:r>
    </w:p>
    <w:p>
      <w:r>
        <w:rPr>
          <w:color w:val="667085"/>
          <w:sz w:val="22"/>
        </w:rPr>
        <w:t>Week 2 Deliverable  |  Analysis-ready foundation for Weeks 3–4</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start w:w="90" w:type="dxa"/>
              <w:bottom w:w="90" w:type="dxa"/>
              <w:end w:w="90" w:type="dxa"/>
            </w:tcMar>
            <w:shd w:fill="17365D"/>
          </w:tcPr>
          <w:p>
            <w:r/>
            <w:r>
              <w:rPr>
                <w:b/>
                <w:color w:val="FFFFFF"/>
                <w:sz w:val="20"/>
              </w:rPr>
              <w:t>Prepared by</w:t>
              <w:br/>
              <w:t>Swarnadeep Dey</w:t>
            </w:r>
          </w:p>
        </w:tc>
        <w:tc>
          <w:tcPr>
            <w:tcW w:type="dxa" w:w="5083"/>
            <w:vAlign w:val="center"/>
            <w:tcMar>
              <w:top w:w="90" w:type="dxa"/>
              <w:start w:w="90" w:type="dxa"/>
              <w:bottom w:w="90" w:type="dxa"/>
              <w:end w:w="90" w:type="dxa"/>
            </w:tcMar>
            <w:shd w:fill="1F4E78"/>
          </w:tcPr>
          <w:p>
            <w:r/>
            <w:r>
              <w:rPr>
                <w:b/>
                <w:color w:val="FFFFFF"/>
                <w:sz w:val="20"/>
              </w:rPr>
              <w:t>Scope</w:t>
              <w:br/>
              <w:t>Q1 FY24–Q1 FY27 • 52 observations</w:t>
            </w:r>
          </w:p>
        </w:tc>
      </w:tr>
    </w:tbl>
    <w:p/>
    <w:p>
      <w:r>
        <w:rPr>
          <w:b/>
          <w:color w:val="17365D"/>
          <w:sz w:val="20"/>
        </w:rPr>
        <w:t>Engagement context</w:t>
      </w:r>
    </w:p>
    <w:p>
      <w:pPr>
        <w:spacing w:after="240"/>
      </w:pPr>
      <w:r>
        <w:t>A simulated analyst workflow for a hypothetical equity-research desk. The report documents how public financial data was identified, collected, standardized, validated and prepared for downstream visualization and forecasting. It is not an investment recommendation.</w:t>
      </w:r>
    </w:p>
    <w:p>
      <w:pPr>
        <w:pStyle w:val="Note"/>
      </w:pPr>
      <w:r>
        <w:rPr>
          <w:i/>
          <w:color w:val="667085"/>
          <w:sz w:val="17"/>
        </w:rPr>
        <w:t>Source status: current Q1 FY27 operating/strategic KPIs are validated against issuer releases. The common 13-quarter historical financial panel uses a structured public-data extraction layer and is explicitly flagged where direct issuer reconciliation remains a follow-up control.</w:t>
      </w:r>
    </w:p>
    <w:p>
      <w:r>
        <w:br w:type="page"/>
      </w:r>
    </w:p>
    <w:p>
      <w:pPr>
        <w:pStyle w:val="Heading1"/>
      </w:pPr>
      <w:r>
        <w:t>Executive Summary</w:t>
      </w:r>
    </w:p>
    <w:p>
      <w:r>
        <w:rPr>
          <w:b/>
        </w:rPr>
        <w:t xml:space="preserve">Purpose. </w:t>
      </w:r>
      <w:r>
        <w:t>Week 2 converts the strategic questions defined in Week 1 into a controlled data workflow. The objective is not simply to assemble numbers, but to produce a dataset whose definitions, units, time periods and source lineage are sufficiently clear that an analyst can defend each subsequent calculation. The peer universe remains TCS, Infosys, HCLTech and Wipro, consistent with the Week 1 scope, and the working quarterly panel contains 13 common quarters from Q1 FY24 through Q1 FY27, giving 52 company-quarter observations. The earlier plan specified a 12+ quarter target and a primary-source-first approach. This report operationalizes that approach while making data-quality limitations visible rather than hiding them.</w:t>
      </w:r>
    </w:p>
    <w:p>
      <w:r>
        <w:rPr>
          <w:b/>
        </w:rPr>
        <w:t xml:space="preserve">Collection architecture. </w:t>
      </w:r>
      <w:r>
        <w:t>The workflow uses issuer investor-relations releases, financial-statements pages and exchange filings as the source hierarchy for verification. A structured public-data extraction layer is retained for efficient historical backfill and cross-company panel construction. This is treated as a secondary layer, not as the final source of record. Current Q1 FY27 values are separately validated against the companies’ own releases so the most recent quarter is not allowed to inherit stale or mislabelled figures from an indexed summary.</w:t>
      </w:r>
    </w:p>
    <w:p>
      <w:r>
        <w:rPr>
          <w:b/>
        </w:rPr>
        <w:t xml:space="preserve">Cleaning and standardization. </w:t>
      </w:r>
      <w:r>
        <w:t>Historical revenue, operating profit and net profit are standardized to INR crore. Fiscal-quarter labels are normalized, duplicates are checked, and derived metrics—quarter-on-quarter growth, year-on-year growth, operating margin and net margin—are formula-driven in the companion workbook. Source type, URL and data-status fields are retained alongside the financial observations. This creates an audit trail that separates hard financial inputs from analytical calculations.</w:t>
      </w:r>
    </w:p>
    <w:p>
      <w:r>
        <w:rPr>
          <w:b/>
        </w:rPr>
        <w:t xml:space="preserve">Key findings from the data-quality pass. </w:t>
      </w:r>
      <w:r>
        <w:t>Coverage is complete for the common 13-quarter panel, with 52 rows across four issuers and no missing core revenue/profit observations in the working set. Four material controls are flagged for downstream work: Wipro’s margin basis must remain explicitly identified as IT services; small Q1 FY27 profit differences exist between the structured series and issuer-reported values for Infosys, HCLTech and Wipro; an exact current Wipro employee count was not captured and therefore must not be invented; and historical primary-source reconciliation should continue before final model sign-off.</w:t>
      </w:r>
    </w:p>
    <w:p>
      <w:r>
        <w:rPr>
          <w:b/>
        </w:rPr>
        <w:t xml:space="preserve">Handoff. </w:t>
      </w:r>
      <w:r>
        <w:t>The dataset is suitable as a Week 3 visualization base and a Week 4 modelling base provided the source log and QA exceptions travel with it. The main analytical principle is therefore traceability: a clean-looking dataset is not treated as reliable merely because it has no blanks. Every exception has a named treatment, every derived metric has a defined formula, and the model stage will be required to respect the Q1 FY27 information cut-off to prevent look-ahead bias.</w:t>
      </w:r>
    </w:p>
    <w:p>
      <w:pPr>
        <w:pStyle w:val="Heading2"/>
      </w:pPr>
      <w:r>
        <w:t>Report at a Glance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tcMar>
              <w:top w:w="90" w:type="dxa"/>
              <w:start w:w="90" w:type="dxa"/>
              <w:bottom w:w="90" w:type="dxa"/>
              <w:end w:w="90" w:type="dxa"/>
            </w:tcMar>
            <w:shd w:fill="17365D"/>
          </w:tcPr>
          <w:p>
            <w:pPr>
              <w:jc w:val="center"/>
            </w:pPr>
            <w:r/>
            <w:r>
              <w:rPr>
                <w:b/>
                <w:color w:val="FFFFFF"/>
                <w:sz w:val="16"/>
              </w:rPr>
              <w:t>Control</w:t>
            </w:r>
          </w:p>
        </w:tc>
        <w:tc>
          <w:tcPr>
            <w:tcW w:type="dxa" w:w="7056"/>
            <w:vAlign w:val="center"/>
            <w:tcMar>
              <w:top w:w="90" w:type="dxa"/>
              <w:start w:w="90" w:type="dxa"/>
              <w:bottom w:w="90" w:type="dxa"/>
              <w:end w:w="90" w:type="dxa"/>
            </w:tcMar>
            <w:shd w:fill="17365D"/>
          </w:tcPr>
          <w:p>
            <w:pPr>
              <w:jc w:val="center"/>
            </w:pPr>
            <w:r/>
            <w:r>
              <w:rPr>
                <w:b/>
                <w:color w:val="FFFFFF"/>
                <w:sz w:val="16"/>
              </w:rPr>
              <w:t>Week 2 outcome</w:t>
            </w:r>
          </w:p>
        </w:tc>
      </w:tr>
      <w:tr>
        <w:tc>
          <w:tcPr>
            <w:tcW w:type="dxa" w:w="3168"/>
            <w:vAlign w:val="center"/>
            <w:tcMar>
              <w:top w:w="90" w:type="dxa"/>
              <w:start w:w="90" w:type="dxa"/>
              <w:bottom w:w="90" w:type="dxa"/>
              <w:end w:w="90" w:type="dxa"/>
            </w:tcMar>
            <w:shd w:fill="F7FAFC"/>
          </w:tcPr>
          <w:p>
            <w:pPr>
              <w:jc w:val="left"/>
            </w:pPr>
            <w:r/>
            <w:r>
              <w:rPr>
                <w:b w:val="0"/>
                <w:color w:val="1F2937"/>
                <w:sz w:val="16"/>
              </w:rPr>
              <w:t>Companies</w:t>
            </w:r>
          </w:p>
        </w:tc>
        <w:tc>
          <w:tcPr>
            <w:tcW w:type="dxa" w:w="7056"/>
            <w:vAlign w:val="center"/>
            <w:tcMar>
              <w:top w:w="90" w:type="dxa"/>
              <w:start w:w="90" w:type="dxa"/>
              <w:bottom w:w="90" w:type="dxa"/>
              <w:end w:w="90" w:type="dxa"/>
            </w:tcMar>
            <w:shd w:fill="F7FAFC"/>
          </w:tcPr>
          <w:p>
            <w:pPr>
              <w:jc w:val="left"/>
            </w:pPr>
            <w:r/>
            <w:r>
              <w:rPr>
                <w:b w:val="0"/>
                <w:color w:val="1F2937"/>
                <w:sz w:val="16"/>
              </w:rPr>
              <w:t>TCS, Infosys, HCLTech, Wipro</w:t>
            </w:r>
          </w:p>
        </w:tc>
      </w:tr>
      <w:tr>
        <w:tc>
          <w:tcPr>
            <w:tcW w:type="dxa" w:w="3168"/>
            <w:vAlign w:val="center"/>
            <w:tcMar>
              <w:top w:w="90" w:type="dxa"/>
              <w:start w:w="90" w:type="dxa"/>
              <w:bottom w:w="90" w:type="dxa"/>
              <w:end w:w="90" w:type="dxa"/>
            </w:tcMar>
          </w:tcPr>
          <w:p>
            <w:pPr>
              <w:jc w:val="left"/>
            </w:pPr>
            <w:r/>
            <w:r>
              <w:rPr>
                <w:b w:val="0"/>
                <w:color w:val="1F2937"/>
                <w:sz w:val="16"/>
              </w:rPr>
              <w:t>Common quarterly panel</w:t>
            </w:r>
          </w:p>
        </w:tc>
        <w:tc>
          <w:tcPr>
            <w:tcW w:type="dxa" w:w="7056"/>
            <w:vAlign w:val="center"/>
            <w:tcMar>
              <w:top w:w="90" w:type="dxa"/>
              <w:start w:w="90" w:type="dxa"/>
              <w:bottom w:w="90" w:type="dxa"/>
              <w:end w:w="90" w:type="dxa"/>
            </w:tcMar>
          </w:tcPr>
          <w:p>
            <w:pPr>
              <w:jc w:val="left"/>
            </w:pPr>
            <w:r/>
            <w:r>
              <w:rPr>
                <w:b w:val="0"/>
                <w:color w:val="1F2937"/>
                <w:sz w:val="16"/>
              </w:rPr>
              <w:t>Q1 FY24–Q1 FY27 (13 quarters each; 52 observations)</w:t>
            </w:r>
          </w:p>
        </w:tc>
      </w:tr>
      <w:tr>
        <w:tc>
          <w:tcPr>
            <w:tcW w:type="dxa" w:w="3168"/>
            <w:vAlign w:val="center"/>
            <w:tcMar>
              <w:top w:w="90" w:type="dxa"/>
              <w:start w:w="90" w:type="dxa"/>
              <w:bottom w:w="90" w:type="dxa"/>
              <w:end w:w="90" w:type="dxa"/>
            </w:tcMar>
            <w:shd w:fill="F7FAFC"/>
          </w:tcPr>
          <w:p>
            <w:pPr>
              <w:jc w:val="left"/>
            </w:pPr>
            <w:r/>
            <w:r>
              <w:rPr>
                <w:b w:val="0"/>
                <w:color w:val="1F2937"/>
                <w:sz w:val="16"/>
              </w:rPr>
              <w:t>Core financial fields</w:t>
            </w:r>
          </w:p>
        </w:tc>
        <w:tc>
          <w:tcPr>
            <w:tcW w:type="dxa" w:w="7056"/>
            <w:vAlign w:val="center"/>
            <w:tcMar>
              <w:top w:w="90" w:type="dxa"/>
              <w:start w:w="90" w:type="dxa"/>
              <w:bottom w:w="90" w:type="dxa"/>
              <w:end w:w="90" w:type="dxa"/>
            </w:tcMar>
            <w:shd w:fill="F7FAFC"/>
          </w:tcPr>
          <w:p>
            <w:pPr>
              <w:jc w:val="left"/>
            </w:pPr>
            <w:r/>
            <w:r>
              <w:rPr>
                <w:b w:val="0"/>
                <w:color w:val="1F2937"/>
                <w:sz w:val="16"/>
              </w:rPr>
              <w:t>Revenue, operating profit, net profit</w:t>
            </w:r>
          </w:p>
        </w:tc>
      </w:tr>
      <w:tr>
        <w:tc>
          <w:tcPr>
            <w:tcW w:type="dxa" w:w="3168"/>
            <w:vAlign w:val="center"/>
            <w:tcMar>
              <w:top w:w="90" w:type="dxa"/>
              <w:start w:w="90" w:type="dxa"/>
              <w:bottom w:w="90" w:type="dxa"/>
              <w:end w:w="90" w:type="dxa"/>
            </w:tcMar>
          </w:tcPr>
          <w:p>
            <w:pPr>
              <w:jc w:val="left"/>
            </w:pPr>
            <w:r/>
            <w:r>
              <w:rPr>
                <w:b w:val="0"/>
                <w:color w:val="1F2937"/>
                <w:sz w:val="16"/>
              </w:rPr>
              <w:t>Derived fields</w:t>
            </w:r>
          </w:p>
        </w:tc>
        <w:tc>
          <w:tcPr>
            <w:tcW w:type="dxa" w:w="7056"/>
            <w:vAlign w:val="center"/>
            <w:tcMar>
              <w:top w:w="90" w:type="dxa"/>
              <w:start w:w="90" w:type="dxa"/>
              <w:bottom w:w="90" w:type="dxa"/>
              <w:end w:w="90" w:type="dxa"/>
            </w:tcMar>
          </w:tcPr>
          <w:p>
            <w:pPr>
              <w:jc w:val="left"/>
            </w:pPr>
            <w:r/>
            <w:r>
              <w:rPr>
                <w:b w:val="0"/>
                <w:color w:val="1F2937"/>
                <w:sz w:val="16"/>
              </w:rPr>
              <w:t>QoQ growth, YoY growth, operating margin, net margin</w:t>
            </w:r>
          </w:p>
        </w:tc>
      </w:tr>
      <w:tr>
        <w:tc>
          <w:tcPr>
            <w:tcW w:type="dxa" w:w="3168"/>
            <w:vAlign w:val="center"/>
            <w:tcMar>
              <w:top w:w="90" w:type="dxa"/>
              <w:start w:w="90" w:type="dxa"/>
              <w:bottom w:w="90" w:type="dxa"/>
              <w:end w:w="90" w:type="dxa"/>
            </w:tcMar>
            <w:shd w:fill="F7FAFC"/>
          </w:tcPr>
          <w:p>
            <w:pPr>
              <w:jc w:val="left"/>
            </w:pPr>
            <w:r/>
            <w:r>
              <w:rPr>
                <w:b w:val="0"/>
                <w:color w:val="1F2937"/>
                <w:sz w:val="16"/>
              </w:rPr>
              <w:t>Primary data principle</w:t>
            </w:r>
          </w:p>
        </w:tc>
        <w:tc>
          <w:tcPr>
            <w:tcW w:type="dxa" w:w="7056"/>
            <w:vAlign w:val="center"/>
            <w:tcMar>
              <w:top w:w="90" w:type="dxa"/>
              <w:start w:w="90" w:type="dxa"/>
              <w:bottom w:w="90" w:type="dxa"/>
              <w:end w:w="90" w:type="dxa"/>
            </w:tcMar>
            <w:shd w:fill="F7FAFC"/>
          </w:tcPr>
          <w:p>
            <w:pPr>
              <w:jc w:val="left"/>
            </w:pPr>
            <w:r/>
            <w:r>
              <w:rPr>
                <w:b w:val="0"/>
                <w:color w:val="1F2937"/>
                <w:sz w:val="16"/>
              </w:rPr>
              <w:t>Issuer IR / filings are source of record for validation</w:t>
            </w:r>
          </w:p>
        </w:tc>
      </w:tr>
      <w:tr>
        <w:tc>
          <w:tcPr>
            <w:tcW w:type="dxa" w:w="3168"/>
            <w:vAlign w:val="center"/>
            <w:tcMar>
              <w:top w:w="90" w:type="dxa"/>
              <w:start w:w="90" w:type="dxa"/>
              <w:bottom w:w="90" w:type="dxa"/>
              <w:end w:w="90" w:type="dxa"/>
            </w:tcMar>
          </w:tcPr>
          <w:p>
            <w:pPr>
              <w:jc w:val="left"/>
            </w:pPr>
            <w:r/>
            <w:r>
              <w:rPr>
                <w:b w:val="0"/>
                <w:color w:val="1F2937"/>
                <w:sz w:val="16"/>
              </w:rPr>
              <w:t>Secondary layer</w:t>
            </w:r>
          </w:p>
        </w:tc>
        <w:tc>
          <w:tcPr>
            <w:tcW w:type="dxa" w:w="7056"/>
            <w:vAlign w:val="center"/>
            <w:tcMar>
              <w:top w:w="90" w:type="dxa"/>
              <w:start w:w="90" w:type="dxa"/>
              <w:bottom w:w="90" w:type="dxa"/>
              <w:end w:w="90" w:type="dxa"/>
            </w:tcMar>
          </w:tcPr>
          <w:p>
            <w:pPr>
              <w:jc w:val="left"/>
            </w:pPr>
            <w:r/>
            <w:r>
              <w:rPr>
                <w:b w:val="0"/>
                <w:color w:val="1F2937"/>
                <w:sz w:val="16"/>
              </w:rPr>
              <w:t>Structured public-data extraction used for historical backfill and reconciliation</w:t>
            </w:r>
          </w:p>
        </w:tc>
      </w:tr>
      <w:tr>
        <w:tc>
          <w:tcPr>
            <w:tcW w:type="dxa" w:w="3168"/>
            <w:vAlign w:val="center"/>
            <w:tcMar>
              <w:top w:w="90" w:type="dxa"/>
              <w:start w:w="90" w:type="dxa"/>
              <w:bottom w:w="90" w:type="dxa"/>
              <w:end w:w="90" w:type="dxa"/>
            </w:tcMar>
            <w:shd w:fill="F7FAFC"/>
          </w:tcPr>
          <w:p>
            <w:pPr>
              <w:jc w:val="left"/>
            </w:pPr>
            <w:r/>
            <w:r>
              <w:rPr>
                <w:b w:val="0"/>
                <w:color w:val="1F2937"/>
                <w:sz w:val="16"/>
              </w:rPr>
              <w:t>Companion technical asset</w:t>
            </w:r>
          </w:p>
        </w:tc>
        <w:tc>
          <w:tcPr>
            <w:tcW w:type="dxa" w:w="7056"/>
            <w:vAlign w:val="center"/>
            <w:tcMar>
              <w:top w:w="90" w:type="dxa"/>
              <w:start w:w="90" w:type="dxa"/>
              <w:bottom w:w="90" w:type="dxa"/>
              <w:end w:w="90" w:type="dxa"/>
            </w:tcMar>
            <w:shd w:fill="F7FAFC"/>
          </w:tcPr>
          <w:p>
            <w:pPr>
              <w:jc w:val="left"/>
            </w:pPr>
            <w:r/>
            <w:r>
              <w:rPr>
                <w:b w:val="0"/>
                <w:color w:val="1F2937"/>
                <w:sz w:val="16"/>
              </w:rPr>
              <w:t>Excel workbook + GitHub-ready Week 2 code/data structure</w:t>
            </w:r>
          </w:p>
        </w:tc>
      </w:tr>
      <w:tr>
        <w:tc>
          <w:tcPr>
            <w:tcW w:type="dxa" w:w="3168"/>
            <w:vAlign w:val="center"/>
            <w:tcMar>
              <w:top w:w="90" w:type="dxa"/>
              <w:start w:w="90" w:type="dxa"/>
              <w:bottom w:w="90" w:type="dxa"/>
              <w:end w:w="90" w:type="dxa"/>
            </w:tcMar>
          </w:tcPr>
          <w:p>
            <w:pPr>
              <w:jc w:val="left"/>
            </w:pPr>
            <w:r/>
            <w:r>
              <w:rPr>
                <w:b w:val="0"/>
                <w:color w:val="1F2937"/>
                <w:sz w:val="16"/>
              </w:rPr>
              <w:t>Downstream use</w:t>
            </w:r>
          </w:p>
        </w:tc>
        <w:tc>
          <w:tcPr>
            <w:tcW w:type="dxa" w:w="7056"/>
            <w:vAlign w:val="center"/>
            <w:tcMar>
              <w:top w:w="90" w:type="dxa"/>
              <w:start w:w="90" w:type="dxa"/>
              <w:bottom w:w="90" w:type="dxa"/>
              <w:end w:w="90" w:type="dxa"/>
            </w:tcMar>
          </w:tcPr>
          <w:p>
            <w:pPr>
              <w:jc w:val="left"/>
            </w:pPr>
            <w:r/>
            <w:r>
              <w:rPr>
                <w:b w:val="0"/>
                <w:color w:val="1F2937"/>
                <w:sz w:val="16"/>
              </w:rPr>
              <w:t>Week 3 visualization and Week 4 forecasting</w:t>
            </w:r>
          </w:p>
        </w:tc>
      </w:tr>
    </w:tbl>
    <w:p>
      <w:pPr>
        <w:pStyle w:val="Heading1"/>
      </w:pPr>
      <w:r>
        <w:t>1. Scope and Data Architecture</w:t>
      </w:r>
    </w:p>
    <w:p>
      <w:r>
        <w:t>The Week 1 strategic plan established a simulated equity-research engagement focused on whether TCS’s growth and margin position among large Indian IT-services peers could be evaluated over the next two to four quarters. The Week 2 data architecture is designed to answer the information requirements without mixing incompatible measures.</w:t>
      </w:r>
    </w:p>
    <w:p>
      <w:pPr>
        <w:pStyle w:val="Heading2"/>
      </w:pPr>
      <w:r>
        <w:t>1.1 Analytical universe</w:t>
      </w:r>
    </w:p>
    <w:p>
      <w:pPr>
        <w:pStyle w:val="ListBullet"/>
        <w:spacing w:after="80"/>
      </w:pPr>
      <w:r>
        <w:t>TCS, Infosys, HCLTech and Wipro are retained as the four-company peer universe defined in Week 1.</w:t>
      </w:r>
    </w:p>
    <w:p>
      <w:pPr>
        <w:pStyle w:val="ListBullet"/>
        <w:spacing w:after="80"/>
      </w:pPr>
      <w:r>
        <w:t>The common quarter-level comparison runs from Q1 FY24 through Q1 FY27. FY23 annual context may be referenced, but the common panel is kept at 13 quarters because that is the cleanest comparable window available across the four issuers in the working extraction.</w:t>
      </w:r>
    </w:p>
    <w:p>
      <w:pPr>
        <w:pStyle w:val="ListBullet"/>
        <w:spacing w:after="80"/>
      </w:pPr>
      <w:r>
        <w:t>Wipro is explicitly treated on an IT-services operating-margin basis where that is how the issuer reports the metric; no silent conversion to a consolidated margin is permitted.</w:t>
      </w:r>
    </w:p>
    <w:p>
      <w:pPr>
        <w:pStyle w:val="Heading2"/>
      </w:pPr>
      <w:r>
        <w:t>1.2 Dataset layers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vAlign w:val="center"/>
            <w:tcMar>
              <w:top w:w="90" w:type="dxa"/>
              <w:start w:w="90" w:type="dxa"/>
              <w:bottom w:w="90" w:type="dxa"/>
              <w:end w:w="90" w:type="dxa"/>
            </w:tcMar>
            <w:shd w:fill="17365D"/>
          </w:tcPr>
          <w:p>
            <w:pPr>
              <w:jc w:val="center"/>
            </w:pPr>
            <w:r/>
            <w:r>
              <w:rPr>
                <w:b/>
                <w:color w:val="FFFFFF"/>
                <w:sz w:val="16"/>
              </w:rPr>
              <w:t>Layer</w:t>
            </w:r>
          </w:p>
        </w:tc>
        <w:tc>
          <w:tcPr>
            <w:tcW w:type="dxa" w:w="2232"/>
            <w:vAlign w:val="center"/>
            <w:tcMar>
              <w:top w:w="90" w:type="dxa"/>
              <w:start w:w="90" w:type="dxa"/>
              <w:bottom w:w="90" w:type="dxa"/>
              <w:end w:w="90" w:type="dxa"/>
            </w:tcMar>
            <w:shd w:fill="17365D"/>
          </w:tcPr>
          <w:p>
            <w:pPr>
              <w:jc w:val="center"/>
            </w:pPr>
            <w:r/>
            <w:r>
              <w:rPr>
                <w:b/>
                <w:color w:val="FFFFFF"/>
                <w:sz w:val="16"/>
              </w:rPr>
              <w:t>Purpose</w:t>
            </w:r>
          </w:p>
        </w:tc>
        <w:tc>
          <w:tcPr>
            <w:tcW w:type="dxa" w:w="4464"/>
            <w:vAlign w:val="center"/>
            <w:tcMar>
              <w:top w:w="90" w:type="dxa"/>
              <w:start w:w="90" w:type="dxa"/>
              <w:bottom w:w="90" w:type="dxa"/>
              <w:end w:w="90" w:type="dxa"/>
            </w:tcMar>
            <w:shd w:fill="17365D"/>
          </w:tcPr>
          <w:p>
            <w:pPr>
              <w:jc w:val="center"/>
            </w:pPr>
            <w:r/>
            <w:r>
              <w:rPr>
                <w:b/>
                <w:color w:val="FFFFFF"/>
                <w:sz w:val="16"/>
              </w:rPr>
              <w:t>Examples</w:t>
            </w:r>
          </w:p>
        </w:tc>
        <w:tc>
          <w:tcPr>
            <w:tcW w:type="dxa" w:w="2232"/>
            <w:vAlign w:val="center"/>
            <w:tcMar>
              <w:top w:w="90" w:type="dxa"/>
              <w:start w:w="90" w:type="dxa"/>
              <w:bottom w:w="90" w:type="dxa"/>
              <w:end w:w="90" w:type="dxa"/>
            </w:tcMar>
            <w:shd w:fill="17365D"/>
          </w:tcPr>
          <w:p>
            <w:pPr>
              <w:jc w:val="center"/>
            </w:pPr>
            <w:r/>
            <w:r>
              <w:rPr>
                <w:b/>
                <w:color w:val="FFFFFF"/>
                <w:sz w:val="16"/>
              </w:rPr>
              <w:t>Control</w:t>
            </w:r>
          </w:p>
        </w:tc>
      </w:tr>
      <w:tr>
        <w:tc>
          <w:tcPr>
            <w:tcW w:type="dxa" w:w="1440"/>
            <w:vAlign w:val="center"/>
            <w:tcMar>
              <w:top w:w="90" w:type="dxa"/>
              <w:start w:w="90" w:type="dxa"/>
              <w:bottom w:w="90" w:type="dxa"/>
              <w:end w:w="90" w:type="dxa"/>
            </w:tcMar>
            <w:shd w:fill="F7FAFC"/>
          </w:tcPr>
          <w:p>
            <w:pPr>
              <w:jc w:val="left"/>
            </w:pPr>
            <w:r/>
            <w:r>
              <w:rPr>
                <w:b w:val="0"/>
                <w:color w:val="1F2937"/>
                <w:sz w:val="16"/>
              </w:rPr>
              <w:t>Raw</w:t>
            </w:r>
          </w:p>
        </w:tc>
        <w:tc>
          <w:tcPr>
            <w:tcW w:type="dxa" w:w="2232"/>
            <w:vAlign w:val="center"/>
            <w:tcMar>
              <w:top w:w="90" w:type="dxa"/>
              <w:start w:w="90" w:type="dxa"/>
              <w:bottom w:w="90" w:type="dxa"/>
              <w:end w:w="90" w:type="dxa"/>
            </w:tcMar>
            <w:shd w:fill="F7FAFC"/>
          </w:tcPr>
          <w:p>
            <w:pPr>
              <w:jc w:val="left"/>
            </w:pPr>
            <w:r/>
            <w:r>
              <w:rPr>
                <w:b w:val="0"/>
                <w:color w:val="1F2937"/>
                <w:sz w:val="16"/>
              </w:rPr>
              <w:t>Preserve extracted source observations</w:t>
            </w:r>
          </w:p>
        </w:tc>
        <w:tc>
          <w:tcPr>
            <w:tcW w:type="dxa" w:w="4464"/>
            <w:vAlign w:val="center"/>
            <w:tcMar>
              <w:top w:w="90" w:type="dxa"/>
              <w:start w:w="90" w:type="dxa"/>
              <w:bottom w:w="90" w:type="dxa"/>
              <w:end w:w="90" w:type="dxa"/>
            </w:tcMar>
            <w:shd w:fill="F7FAFC"/>
          </w:tcPr>
          <w:p>
            <w:pPr>
              <w:jc w:val="left"/>
            </w:pPr>
            <w:r/>
            <w:r>
              <w:rPr>
                <w:b w:val="0"/>
                <w:color w:val="1F2937"/>
                <w:sz w:val="16"/>
              </w:rPr>
              <w:t>Revenue, operating profit, net profit, period, company, source URL</w:t>
            </w:r>
          </w:p>
        </w:tc>
        <w:tc>
          <w:tcPr>
            <w:tcW w:type="dxa" w:w="2232"/>
            <w:vAlign w:val="center"/>
            <w:tcMar>
              <w:top w:w="90" w:type="dxa"/>
              <w:start w:w="90" w:type="dxa"/>
              <w:bottom w:w="90" w:type="dxa"/>
              <w:end w:w="90" w:type="dxa"/>
            </w:tcMar>
            <w:shd w:fill="F7FAFC"/>
          </w:tcPr>
          <w:p>
            <w:pPr>
              <w:jc w:val="left"/>
            </w:pPr>
            <w:r/>
            <w:r>
              <w:rPr>
                <w:b w:val="0"/>
                <w:color w:val="1F2937"/>
                <w:sz w:val="16"/>
              </w:rPr>
              <w:t>No analytical transformations</w:t>
            </w:r>
          </w:p>
        </w:tc>
      </w:tr>
      <w:tr>
        <w:tc>
          <w:tcPr>
            <w:tcW w:type="dxa" w:w="1440"/>
            <w:vAlign w:val="center"/>
            <w:tcMar>
              <w:top w:w="90" w:type="dxa"/>
              <w:start w:w="90" w:type="dxa"/>
              <w:bottom w:w="90" w:type="dxa"/>
              <w:end w:w="90" w:type="dxa"/>
            </w:tcMar>
          </w:tcPr>
          <w:p>
            <w:pPr>
              <w:jc w:val="left"/>
            </w:pPr>
            <w:r/>
            <w:r>
              <w:rPr>
                <w:b w:val="0"/>
                <w:color w:val="1F2937"/>
                <w:sz w:val="16"/>
              </w:rPr>
              <w:t>Cleaned</w:t>
            </w:r>
          </w:p>
        </w:tc>
        <w:tc>
          <w:tcPr>
            <w:tcW w:type="dxa" w:w="2232"/>
            <w:vAlign w:val="center"/>
            <w:tcMar>
              <w:top w:w="90" w:type="dxa"/>
              <w:start w:w="90" w:type="dxa"/>
              <w:bottom w:w="90" w:type="dxa"/>
              <w:end w:w="90" w:type="dxa"/>
            </w:tcMar>
          </w:tcPr>
          <w:p>
            <w:pPr>
              <w:jc w:val="left"/>
            </w:pPr>
            <w:r/>
            <w:r>
              <w:rPr>
                <w:b w:val="0"/>
                <w:color w:val="1F2937"/>
                <w:sz w:val="16"/>
              </w:rPr>
              <w:t>Create common units/labels and formula-driven metrics</w:t>
            </w:r>
          </w:p>
        </w:tc>
        <w:tc>
          <w:tcPr>
            <w:tcW w:type="dxa" w:w="4464"/>
            <w:vAlign w:val="center"/>
            <w:tcMar>
              <w:top w:w="90" w:type="dxa"/>
              <w:start w:w="90" w:type="dxa"/>
              <w:bottom w:w="90" w:type="dxa"/>
              <w:end w:w="90" w:type="dxa"/>
            </w:tcMar>
          </w:tcPr>
          <w:p>
            <w:pPr>
              <w:jc w:val="left"/>
            </w:pPr>
            <w:r/>
            <w:r>
              <w:rPr>
                <w:b w:val="0"/>
                <w:color w:val="1F2937"/>
                <w:sz w:val="16"/>
              </w:rPr>
              <w:t>INR crore, fiscal quarter, YoY/QoQ growth, margins</w:t>
            </w:r>
          </w:p>
        </w:tc>
        <w:tc>
          <w:tcPr>
            <w:tcW w:type="dxa" w:w="2232"/>
            <w:vAlign w:val="center"/>
            <w:tcMar>
              <w:top w:w="90" w:type="dxa"/>
              <w:start w:w="90" w:type="dxa"/>
              <w:bottom w:w="90" w:type="dxa"/>
              <w:end w:w="90" w:type="dxa"/>
            </w:tcMar>
          </w:tcPr>
          <w:p>
            <w:pPr>
              <w:jc w:val="left"/>
            </w:pPr>
            <w:r/>
            <w:r>
              <w:rPr>
                <w:b w:val="0"/>
                <w:color w:val="1F2937"/>
                <w:sz w:val="16"/>
              </w:rPr>
              <w:t>Validation and exception flags</w:t>
            </w:r>
          </w:p>
        </w:tc>
      </w:tr>
      <w:tr>
        <w:tc>
          <w:tcPr>
            <w:tcW w:type="dxa" w:w="1440"/>
            <w:vAlign w:val="center"/>
            <w:tcMar>
              <w:top w:w="90" w:type="dxa"/>
              <w:start w:w="90" w:type="dxa"/>
              <w:bottom w:w="90" w:type="dxa"/>
              <w:end w:w="90" w:type="dxa"/>
            </w:tcMar>
            <w:shd w:fill="F7FAFC"/>
          </w:tcPr>
          <w:p>
            <w:pPr>
              <w:jc w:val="left"/>
            </w:pPr>
            <w:r/>
            <w:r>
              <w:rPr>
                <w:b w:val="0"/>
                <w:color w:val="1F2937"/>
                <w:sz w:val="16"/>
              </w:rPr>
              <w:t>Current KPI</w:t>
            </w:r>
          </w:p>
        </w:tc>
        <w:tc>
          <w:tcPr>
            <w:tcW w:type="dxa" w:w="2232"/>
            <w:vAlign w:val="center"/>
            <w:tcMar>
              <w:top w:w="90" w:type="dxa"/>
              <w:start w:w="90" w:type="dxa"/>
              <w:bottom w:w="90" w:type="dxa"/>
              <w:end w:w="90" w:type="dxa"/>
            </w:tcMar>
            <w:shd w:fill="F7FAFC"/>
          </w:tcPr>
          <w:p>
            <w:pPr>
              <w:jc w:val="left"/>
            </w:pPr>
            <w:r/>
            <w:r>
              <w:rPr>
                <w:b w:val="0"/>
                <w:color w:val="1F2937"/>
                <w:sz w:val="16"/>
              </w:rPr>
              <w:t>Store Q1 FY27 issuer-validated operating/strategic indicators</w:t>
            </w:r>
          </w:p>
        </w:tc>
        <w:tc>
          <w:tcPr>
            <w:tcW w:type="dxa" w:w="4464"/>
            <w:vAlign w:val="center"/>
            <w:tcMar>
              <w:top w:w="90" w:type="dxa"/>
              <w:start w:w="90" w:type="dxa"/>
              <w:bottom w:w="90" w:type="dxa"/>
              <w:end w:w="90" w:type="dxa"/>
            </w:tcMar>
            <w:shd w:fill="F7FAFC"/>
          </w:tcPr>
          <w:p>
            <w:pPr>
              <w:jc w:val="left"/>
            </w:pPr>
            <w:r/>
            <w:r>
              <w:rPr>
                <w:b w:val="0"/>
                <w:color w:val="1F2937"/>
                <w:sz w:val="16"/>
              </w:rPr>
              <w:t>TCV, AI revenue, headcount, attrition, CC growth</w:t>
            </w:r>
          </w:p>
        </w:tc>
        <w:tc>
          <w:tcPr>
            <w:tcW w:type="dxa" w:w="2232"/>
            <w:vAlign w:val="center"/>
            <w:tcMar>
              <w:top w:w="90" w:type="dxa"/>
              <w:start w:w="90" w:type="dxa"/>
              <w:bottom w:w="90" w:type="dxa"/>
              <w:end w:w="90" w:type="dxa"/>
            </w:tcMar>
            <w:shd w:fill="F7FAFC"/>
          </w:tcPr>
          <w:p>
            <w:pPr>
              <w:jc w:val="left"/>
            </w:pPr>
            <w:r/>
            <w:r>
              <w:rPr>
                <w:b w:val="0"/>
                <w:color w:val="1F2937"/>
                <w:sz w:val="16"/>
              </w:rPr>
              <w:t>Source-of-record must be issuer</w:t>
            </w:r>
          </w:p>
        </w:tc>
      </w:tr>
      <w:tr>
        <w:tc>
          <w:tcPr>
            <w:tcW w:type="dxa" w:w="1440"/>
            <w:vAlign w:val="center"/>
            <w:tcMar>
              <w:top w:w="90" w:type="dxa"/>
              <w:start w:w="90" w:type="dxa"/>
              <w:bottom w:w="90" w:type="dxa"/>
              <w:end w:w="90" w:type="dxa"/>
            </w:tcMar>
          </w:tcPr>
          <w:p>
            <w:pPr>
              <w:jc w:val="left"/>
            </w:pPr>
            <w:r/>
            <w:r>
              <w:rPr>
                <w:b w:val="0"/>
                <w:color w:val="1F2937"/>
                <w:sz w:val="16"/>
              </w:rPr>
              <w:t>QA</w:t>
            </w:r>
          </w:p>
        </w:tc>
        <w:tc>
          <w:tcPr>
            <w:tcW w:type="dxa" w:w="2232"/>
            <w:vAlign w:val="center"/>
            <w:tcMar>
              <w:top w:w="90" w:type="dxa"/>
              <w:start w:w="90" w:type="dxa"/>
              <w:bottom w:w="90" w:type="dxa"/>
              <w:end w:w="90" w:type="dxa"/>
            </w:tcMar>
          </w:tcPr>
          <w:p>
            <w:pPr>
              <w:jc w:val="left"/>
            </w:pPr>
            <w:r/>
            <w:r>
              <w:rPr>
                <w:b w:val="0"/>
                <w:color w:val="1F2937"/>
                <w:sz w:val="16"/>
              </w:rPr>
              <w:t>Document data-quality decisions</w:t>
            </w:r>
          </w:p>
        </w:tc>
        <w:tc>
          <w:tcPr>
            <w:tcW w:type="dxa" w:w="4464"/>
            <w:vAlign w:val="center"/>
            <w:tcMar>
              <w:top w:w="90" w:type="dxa"/>
              <w:start w:w="90" w:type="dxa"/>
              <w:bottom w:w="90" w:type="dxa"/>
              <w:end w:w="90" w:type="dxa"/>
            </w:tcMar>
          </w:tcPr>
          <w:p>
            <w:pPr>
              <w:jc w:val="left"/>
            </w:pPr>
            <w:r/>
            <w:r>
              <w:rPr>
                <w:b w:val="0"/>
                <w:color w:val="1F2937"/>
                <w:sz w:val="16"/>
              </w:rPr>
              <w:t>Coverage, basis, reconciliations, missing/disclosed-threshold items</w:t>
            </w:r>
          </w:p>
        </w:tc>
        <w:tc>
          <w:tcPr>
            <w:tcW w:type="dxa" w:w="2232"/>
            <w:vAlign w:val="center"/>
            <w:tcMar>
              <w:top w:w="90" w:type="dxa"/>
              <w:start w:w="90" w:type="dxa"/>
              <w:bottom w:w="90" w:type="dxa"/>
              <w:end w:w="90" w:type="dxa"/>
            </w:tcMar>
          </w:tcPr>
          <w:p>
            <w:pPr>
              <w:jc w:val="left"/>
            </w:pPr>
            <w:r/>
            <w:r>
              <w:rPr>
                <w:b w:val="0"/>
                <w:color w:val="1F2937"/>
                <w:sz w:val="16"/>
              </w:rPr>
              <w:t>PASS/FLAG status</w:t>
            </w:r>
          </w:p>
        </w:tc>
      </w:tr>
      <w:tr>
        <w:tc>
          <w:tcPr>
            <w:tcW w:type="dxa" w:w="1440"/>
            <w:vAlign w:val="center"/>
            <w:tcMar>
              <w:top w:w="90" w:type="dxa"/>
              <w:start w:w="90" w:type="dxa"/>
              <w:bottom w:w="90" w:type="dxa"/>
              <w:end w:w="90" w:type="dxa"/>
            </w:tcMar>
            <w:shd w:fill="F7FAFC"/>
          </w:tcPr>
          <w:p>
            <w:pPr>
              <w:jc w:val="left"/>
            </w:pPr>
            <w:r/>
            <w:r>
              <w:rPr>
                <w:b w:val="0"/>
                <w:color w:val="1F2937"/>
                <w:sz w:val="16"/>
              </w:rPr>
              <w:t>Handoff</w:t>
            </w:r>
          </w:p>
        </w:tc>
        <w:tc>
          <w:tcPr>
            <w:tcW w:type="dxa" w:w="2232"/>
            <w:vAlign w:val="center"/>
            <w:tcMar>
              <w:top w:w="90" w:type="dxa"/>
              <w:start w:w="90" w:type="dxa"/>
              <w:bottom w:w="90" w:type="dxa"/>
              <w:end w:w="90" w:type="dxa"/>
            </w:tcMar>
            <w:shd w:fill="F7FAFC"/>
          </w:tcPr>
          <w:p>
            <w:pPr>
              <w:jc w:val="left"/>
            </w:pPr>
            <w:r/>
            <w:r>
              <w:rPr>
                <w:b w:val="0"/>
                <w:color w:val="1F2937"/>
                <w:sz w:val="16"/>
              </w:rPr>
              <w:t>Provide consistent inputs for later analysis</w:t>
            </w:r>
          </w:p>
        </w:tc>
        <w:tc>
          <w:tcPr>
            <w:tcW w:type="dxa" w:w="4464"/>
            <w:vAlign w:val="center"/>
            <w:tcMar>
              <w:top w:w="90" w:type="dxa"/>
              <w:start w:w="90" w:type="dxa"/>
              <w:bottom w:w="90" w:type="dxa"/>
              <w:end w:w="90" w:type="dxa"/>
            </w:tcMar>
            <w:shd w:fill="F7FAFC"/>
          </w:tcPr>
          <w:p>
            <w:pPr>
              <w:jc w:val="left"/>
            </w:pPr>
            <w:r/>
            <w:r>
              <w:rPr>
                <w:b w:val="0"/>
                <w:color w:val="1F2937"/>
                <w:sz w:val="16"/>
              </w:rPr>
              <w:t>Revenue index, peer snapshots, forecast-ready series</w:t>
            </w:r>
          </w:p>
        </w:tc>
        <w:tc>
          <w:tcPr>
            <w:tcW w:type="dxa" w:w="2232"/>
            <w:vAlign w:val="center"/>
            <w:tcMar>
              <w:top w:w="90" w:type="dxa"/>
              <w:start w:w="90" w:type="dxa"/>
              <w:bottom w:w="90" w:type="dxa"/>
              <w:end w:w="90" w:type="dxa"/>
            </w:tcMar>
            <w:shd w:fill="F7FAFC"/>
          </w:tcPr>
          <w:p>
            <w:pPr>
              <w:jc w:val="left"/>
            </w:pPr>
            <w:r/>
            <w:r>
              <w:rPr>
                <w:b w:val="0"/>
                <w:color w:val="1F2937"/>
                <w:sz w:val="16"/>
              </w:rPr>
              <w:t>No look-ahead</w:t>
            </w:r>
          </w:p>
        </w:tc>
      </w:tr>
    </w:tbl>
    <w:p>
      <w:pPr>
        <w:pStyle w:val="Heading1"/>
      </w:pPr>
      <w:r>
        <w:t>2. Data Collection Methodology</w:t>
      </w:r>
    </w:p>
    <w:p>
      <w:r>
        <w:t>The collection process follows a source hierarchy rather than a single website. The objective is to combine the efficiency of a structured dataset with the governance of issuer-level evidence.</w:t>
      </w:r>
    </w:p>
    <w:p>
      <w:r>
        <w:drawing>
          <wp:inline xmlns:a="http://schemas.openxmlformats.org/drawingml/2006/main" xmlns:pic="http://schemas.openxmlformats.org/drawingml/2006/picture">
            <wp:extent cx="6172200" cy="1302702"/>
            <wp:docPr id="1" name="Picture 1"/>
            <wp:cNvGraphicFramePr>
              <a:graphicFrameLocks noChangeAspect="1"/>
            </wp:cNvGraphicFramePr>
            <a:graphic>
              <a:graphicData uri="http://schemas.openxmlformats.org/drawingml/2006/picture">
                <pic:pic>
                  <pic:nvPicPr>
                    <pic:cNvPr id="0" name="week2_data_pipeline.png"/>
                    <pic:cNvPicPr/>
                  </pic:nvPicPr>
                  <pic:blipFill>
                    <a:blip r:embed="rId11"/>
                    <a:stretch>
                      <a:fillRect/>
                    </a:stretch>
                  </pic:blipFill>
                  <pic:spPr>
                    <a:xfrm>
                      <a:off x="0" y="0"/>
                      <a:ext cx="6172200" cy="1302702"/>
                    </a:xfrm>
                    <a:prstGeom prst="rect"/>
                  </pic:spPr>
                </pic:pic>
              </a:graphicData>
            </a:graphic>
          </wp:inline>
        </w:drawing>
      </w:r>
    </w:p>
    <w:p>
      <w:pPr>
        <w:jc w:val="center"/>
      </w:pPr>
      <w:r>
        <w:rPr>
          <w:i/>
          <w:color w:val="667085"/>
          <w:sz w:val="17"/>
        </w:rPr>
        <w:t>Figure 1. Week 2 data-control pipeline.</w:t>
      </w:r>
    </w:p>
    <w:p>
      <w:pPr>
        <w:pStyle w:val="Heading2"/>
      </w:pPr>
      <w:r>
        <w:t>2.1 Source hierarchy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tcMar>
              <w:top w:w="90" w:type="dxa"/>
              <w:start w:w="90" w:type="dxa"/>
              <w:bottom w:w="90" w:type="dxa"/>
              <w:end w:w="90" w:type="dxa"/>
            </w:tcMar>
            <w:shd w:fill="17365D"/>
          </w:tcPr>
          <w:p>
            <w:pPr>
              <w:jc w:val="center"/>
            </w:pPr>
            <w:r/>
            <w:r>
              <w:rPr>
                <w:b/>
                <w:color w:val="FFFFFF"/>
                <w:sz w:val="16"/>
              </w:rPr>
              <w:t>Priority</w:t>
            </w:r>
          </w:p>
        </w:tc>
        <w:tc>
          <w:tcPr>
            <w:tcW w:type="dxa" w:w="2592"/>
            <w:vAlign w:val="center"/>
            <w:tcMar>
              <w:top w:w="90" w:type="dxa"/>
              <w:start w:w="90" w:type="dxa"/>
              <w:bottom w:w="90" w:type="dxa"/>
              <w:end w:w="90" w:type="dxa"/>
            </w:tcMar>
            <w:shd w:fill="17365D"/>
          </w:tcPr>
          <w:p>
            <w:pPr>
              <w:jc w:val="center"/>
            </w:pPr>
            <w:r/>
            <w:r>
              <w:rPr>
                <w:b/>
                <w:color w:val="FFFFFF"/>
                <w:sz w:val="16"/>
              </w:rPr>
              <w:t>Source class</w:t>
            </w:r>
          </w:p>
        </w:tc>
        <w:tc>
          <w:tcPr>
            <w:tcW w:type="dxa" w:w="4032"/>
            <w:vAlign w:val="center"/>
            <w:tcMar>
              <w:top w:w="90" w:type="dxa"/>
              <w:start w:w="90" w:type="dxa"/>
              <w:bottom w:w="90" w:type="dxa"/>
              <w:end w:w="90" w:type="dxa"/>
            </w:tcMar>
            <w:shd w:fill="17365D"/>
          </w:tcPr>
          <w:p>
            <w:pPr>
              <w:jc w:val="center"/>
            </w:pPr>
            <w:r/>
            <w:r>
              <w:rPr>
                <w:b/>
                <w:color w:val="FFFFFF"/>
                <w:sz w:val="16"/>
              </w:rPr>
              <w:t>Use in this project</w:t>
            </w:r>
          </w:p>
        </w:tc>
        <w:tc>
          <w:tcPr>
            <w:tcW w:type="dxa" w:w="3384"/>
            <w:vAlign w:val="center"/>
            <w:tcMar>
              <w:top w:w="90" w:type="dxa"/>
              <w:start w:w="90" w:type="dxa"/>
              <w:bottom w:w="90" w:type="dxa"/>
              <w:end w:w="90" w:type="dxa"/>
            </w:tcMar>
            <w:shd w:fill="17365D"/>
          </w:tcPr>
          <w:p>
            <w:pPr>
              <w:jc w:val="center"/>
            </w:pPr>
            <w:r/>
            <w:r>
              <w:rPr>
                <w:b/>
                <w:color w:val="FFFFFF"/>
                <w:sz w:val="16"/>
              </w:rPr>
              <w:t>Governance rule</w:t>
            </w:r>
          </w:p>
        </w:tc>
      </w:tr>
      <w:tr>
        <w:tc>
          <w:tcPr>
            <w:tcW w:type="dxa" w:w="792"/>
            <w:vAlign w:val="center"/>
            <w:tcMar>
              <w:top w:w="90" w:type="dxa"/>
              <w:start w:w="90" w:type="dxa"/>
              <w:bottom w:w="90" w:type="dxa"/>
              <w:end w:w="90" w:type="dxa"/>
            </w:tcMar>
            <w:shd w:fill="F7FAFC"/>
          </w:tcPr>
          <w:p>
            <w:pPr>
              <w:jc w:val="left"/>
            </w:pPr>
            <w:r/>
            <w:r>
              <w:rPr>
                <w:b w:val="0"/>
                <w:color w:val="1F2937"/>
                <w:sz w:val="16"/>
              </w:rPr>
              <w:t>1</w:t>
            </w:r>
          </w:p>
        </w:tc>
        <w:tc>
          <w:tcPr>
            <w:tcW w:type="dxa" w:w="2592"/>
            <w:vAlign w:val="center"/>
            <w:tcMar>
              <w:top w:w="90" w:type="dxa"/>
              <w:start w:w="90" w:type="dxa"/>
              <w:bottom w:w="90" w:type="dxa"/>
              <w:end w:w="90" w:type="dxa"/>
            </w:tcMar>
            <w:shd w:fill="F7FAFC"/>
          </w:tcPr>
          <w:p>
            <w:pPr>
              <w:jc w:val="left"/>
            </w:pPr>
            <w:r/>
            <w:r>
              <w:rPr>
                <w:b w:val="0"/>
                <w:color w:val="1F2937"/>
                <w:sz w:val="16"/>
              </w:rPr>
              <w:t>Issuer investor relations / financial statements</w:t>
            </w:r>
          </w:p>
        </w:tc>
        <w:tc>
          <w:tcPr>
            <w:tcW w:type="dxa" w:w="4032"/>
            <w:vAlign w:val="center"/>
            <w:tcMar>
              <w:top w:w="90" w:type="dxa"/>
              <w:start w:w="90" w:type="dxa"/>
              <w:bottom w:w="90" w:type="dxa"/>
              <w:end w:w="90" w:type="dxa"/>
            </w:tcMar>
            <w:shd w:fill="F7FAFC"/>
          </w:tcPr>
          <w:p>
            <w:pPr>
              <w:jc w:val="left"/>
            </w:pPr>
            <w:r/>
            <w:r>
              <w:rPr>
                <w:b w:val="0"/>
                <w:color w:val="1F2937"/>
                <w:sz w:val="16"/>
              </w:rPr>
              <w:t>Quarterly financials, official results, fact sheets, annual reports</w:t>
            </w:r>
          </w:p>
        </w:tc>
        <w:tc>
          <w:tcPr>
            <w:tcW w:type="dxa" w:w="3384"/>
            <w:vAlign w:val="center"/>
            <w:tcMar>
              <w:top w:w="90" w:type="dxa"/>
              <w:start w:w="90" w:type="dxa"/>
              <w:bottom w:w="90" w:type="dxa"/>
              <w:end w:w="90" w:type="dxa"/>
            </w:tcMar>
            <w:shd w:fill="F7FAFC"/>
          </w:tcPr>
          <w:p>
            <w:pPr>
              <w:jc w:val="left"/>
            </w:pPr>
            <w:r/>
            <w:r>
              <w:rPr>
                <w:b w:val="0"/>
                <w:color w:val="1F2937"/>
                <w:sz w:val="16"/>
              </w:rPr>
              <w:t>Source of record; use for final validation</w:t>
            </w:r>
          </w:p>
        </w:tc>
      </w:tr>
      <w:tr>
        <w:tc>
          <w:tcPr>
            <w:tcW w:type="dxa" w:w="792"/>
            <w:vAlign w:val="center"/>
            <w:tcMar>
              <w:top w:w="90" w:type="dxa"/>
              <w:start w:w="90" w:type="dxa"/>
              <w:bottom w:w="90" w:type="dxa"/>
              <w:end w:w="90" w:type="dxa"/>
            </w:tcMar>
          </w:tcPr>
          <w:p>
            <w:pPr>
              <w:jc w:val="left"/>
            </w:pPr>
            <w:r/>
            <w:r>
              <w:rPr>
                <w:b w:val="0"/>
                <w:color w:val="1F2937"/>
                <w:sz w:val="16"/>
              </w:rPr>
              <w:t>1</w:t>
            </w:r>
          </w:p>
        </w:tc>
        <w:tc>
          <w:tcPr>
            <w:tcW w:type="dxa" w:w="2592"/>
            <w:vAlign w:val="center"/>
            <w:tcMar>
              <w:top w:w="90" w:type="dxa"/>
              <w:start w:w="90" w:type="dxa"/>
              <w:bottom w:w="90" w:type="dxa"/>
              <w:end w:w="90" w:type="dxa"/>
            </w:tcMar>
          </w:tcPr>
          <w:p>
            <w:pPr>
              <w:jc w:val="left"/>
            </w:pPr>
            <w:r/>
            <w:r>
              <w:rPr>
                <w:b w:val="0"/>
                <w:color w:val="1F2937"/>
                <w:sz w:val="16"/>
              </w:rPr>
              <w:t>Stock exchange filings</w:t>
            </w:r>
          </w:p>
        </w:tc>
        <w:tc>
          <w:tcPr>
            <w:tcW w:type="dxa" w:w="4032"/>
            <w:vAlign w:val="center"/>
            <w:tcMar>
              <w:top w:w="90" w:type="dxa"/>
              <w:start w:w="90" w:type="dxa"/>
              <w:bottom w:w="90" w:type="dxa"/>
              <w:end w:w="90" w:type="dxa"/>
            </w:tcMar>
          </w:tcPr>
          <w:p>
            <w:pPr>
              <w:jc w:val="left"/>
            </w:pPr>
            <w:r/>
            <w:r>
              <w:rPr>
                <w:b w:val="0"/>
                <w:color w:val="1F2937"/>
                <w:sz w:val="16"/>
              </w:rPr>
              <w:t>Filed financials and disclosures</w:t>
            </w:r>
          </w:p>
        </w:tc>
        <w:tc>
          <w:tcPr>
            <w:tcW w:type="dxa" w:w="3384"/>
            <w:vAlign w:val="center"/>
            <w:tcMar>
              <w:top w:w="90" w:type="dxa"/>
              <w:start w:w="90" w:type="dxa"/>
              <w:bottom w:w="90" w:type="dxa"/>
              <w:end w:w="90" w:type="dxa"/>
            </w:tcMar>
          </w:tcPr>
          <w:p>
            <w:pPr>
              <w:jc w:val="left"/>
            </w:pPr>
            <w:r/>
            <w:r>
              <w:rPr>
                <w:b w:val="0"/>
                <w:color w:val="1F2937"/>
                <w:sz w:val="16"/>
              </w:rPr>
              <w:t>Use to resolve reporting-basis or exceptional-item questions</w:t>
            </w:r>
          </w:p>
        </w:tc>
      </w:tr>
      <w:tr>
        <w:tc>
          <w:tcPr>
            <w:tcW w:type="dxa" w:w="792"/>
            <w:vAlign w:val="center"/>
            <w:tcMar>
              <w:top w:w="90" w:type="dxa"/>
              <w:start w:w="90" w:type="dxa"/>
              <w:bottom w:w="90" w:type="dxa"/>
              <w:end w:w="90" w:type="dxa"/>
            </w:tcMar>
            <w:shd w:fill="F7FAFC"/>
          </w:tcPr>
          <w:p>
            <w:pPr>
              <w:jc w:val="left"/>
            </w:pPr>
            <w:r/>
            <w:r>
              <w:rPr>
                <w:b w:val="0"/>
                <w:color w:val="1F2937"/>
                <w:sz w:val="16"/>
              </w:rPr>
              <w:t>2</w:t>
            </w:r>
          </w:p>
        </w:tc>
        <w:tc>
          <w:tcPr>
            <w:tcW w:type="dxa" w:w="2592"/>
            <w:vAlign w:val="center"/>
            <w:tcMar>
              <w:top w:w="90" w:type="dxa"/>
              <w:start w:w="90" w:type="dxa"/>
              <w:bottom w:w="90" w:type="dxa"/>
              <w:end w:w="90" w:type="dxa"/>
            </w:tcMar>
            <w:shd w:fill="F7FAFC"/>
          </w:tcPr>
          <w:p>
            <w:pPr>
              <w:jc w:val="left"/>
            </w:pPr>
            <w:r/>
            <w:r>
              <w:rPr>
                <w:b w:val="0"/>
                <w:color w:val="1F2937"/>
                <w:sz w:val="16"/>
              </w:rPr>
              <w:t>Structured public financial databases</w:t>
            </w:r>
          </w:p>
        </w:tc>
        <w:tc>
          <w:tcPr>
            <w:tcW w:type="dxa" w:w="4032"/>
            <w:vAlign w:val="center"/>
            <w:tcMar>
              <w:top w:w="90" w:type="dxa"/>
              <w:start w:w="90" w:type="dxa"/>
              <w:bottom w:w="90" w:type="dxa"/>
              <w:end w:w="90" w:type="dxa"/>
            </w:tcMar>
            <w:shd w:fill="F7FAFC"/>
          </w:tcPr>
          <w:p>
            <w:pPr>
              <w:jc w:val="left"/>
            </w:pPr>
            <w:r/>
            <w:r>
              <w:rPr>
                <w:b w:val="0"/>
                <w:color w:val="1F2937"/>
                <w:sz w:val="16"/>
              </w:rPr>
              <w:t>Efficient historical extraction and cross-company panel construction</w:t>
            </w:r>
          </w:p>
        </w:tc>
        <w:tc>
          <w:tcPr>
            <w:tcW w:type="dxa" w:w="3384"/>
            <w:vAlign w:val="center"/>
            <w:tcMar>
              <w:top w:w="90" w:type="dxa"/>
              <w:start w:w="90" w:type="dxa"/>
              <w:bottom w:w="90" w:type="dxa"/>
              <w:end w:w="90" w:type="dxa"/>
            </w:tcMar>
            <w:shd w:fill="F7FAFC"/>
          </w:tcPr>
          <w:p>
            <w:pPr>
              <w:jc w:val="left"/>
            </w:pPr>
            <w:r/>
            <w:r>
              <w:rPr>
                <w:b w:val="0"/>
                <w:color w:val="1F2937"/>
                <w:sz w:val="16"/>
              </w:rPr>
              <w:t>Secondary only; cross-check against issuer sources</w:t>
            </w:r>
          </w:p>
        </w:tc>
      </w:tr>
      <w:tr>
        <w:tc>
          <w:tcPr>
            <w:tcW w:type="dxa" w:w="792"/>
            <w:vAlign w:val="center"/>
            <w:tcMar>
              <w:top w:w="90" w:type="dxa"/>
              <w:start w:w="90" w:type="dxa"/>
              <w:bottom w:w="90" w:type="dxa"/>
              <w:end w:w="90" w:type="dxa"/>
            </w:tcMar>
          </w:tcPr>
          <w:p>
            <w:pPr>
              <w:jc w:val="left"/>
            </w:pPr>
            <w:r/>
            <w:r>
              <w:rPr>
                <w:b w:val="0"/>
                <w:color w:val="1F2937"/>
                <w:sz w:val="16"/>
              </w:rPr>
              <w:t>2</w:t>
            </w:r>
          </w:p>
        </w:tc>
        <w:tc>
          <w:tcPr>
            <w:tcW w:type="dxa" w:w="2592"/>
            <w:vAlign w:val="center"/>
            <w:tcMar>
              <w:top w:w="90" w:type="dxa"/>
              <w:start w:w="90" w:type="dxa"/>
              <w:bottom w:w="90" w:type="dxa"/>
              <w:end w:w="90" w:type="dxa"/>
            </w:tcMar>
          </w:tcPr>
          <w:p>
            <w:pPr>
              <w:jc w:val="left"/>
            </w:pPr>
            <w:r/>
            <w:r>
              <w:rPr>
                <w:b w:val="0"/>
                <w:color w:val="1F2937"/>
                <w:sz w:val="16"/>
              </w:rPr>
              <w:t>Financial press / analyst summaries</w:t>
            </w:r>
          </w:p>
        </w:tc>
        <w:tc>
          <w:tcPr>
            <w:tcW w:type="dxa" w:w="4032"/>
            <w:vAlign w:val="center"/>
            <w:tcMar>
              <w:top w:w="90" w:type="dxa"/>
              <w:start w:w="90" w:type="dxa"/>
              <w:bottom w:w="90" w:type="dxa"/>
              <w:end w:w="90" w:type="dxa"/>
            </w:tcMar>
          </w:tcPr>
          <w:p>
            <w:pPr>
              <w:jc w:val="left"/>
            </w:pPr>
            <w:r/>
            <w:r>
              <w:rPr>
                <w:b w:val="0"/>
                <w:color w:val="1F2937"/>
                <w:sz w:val="16"/>
              </w:rPr>
              <w:t>Locate figures, identify discrepancies and contextual issues</w:t>
            </w:r>
          </w:p>
        </w:tc>
        <w:tc>
          <w:tcPr>
            <w:tcW w:type="dxa" w:w="3384"/>
            <w:vAlign w:val="center"/>
            <w:tcMar>
              <w:top w:w="90" w:type="dxa"/>
              <w:start w:w="90" w:type="dxa"/>
              <w:bottom w:w="90" w:type="dxa"/>
              <w:end w:w="90" w:type="dxa"/>
            </w:tcMar>
          </w:tcPr>
          <w:p>
            <w:pPr>
              <w:jc w:val="left"/>
            </w:pPr>
            <w:r/>
            <w:r>
              <w:rPr>
                <w:b w:val="0"/>
                <w:color w:val="1F2937"/>
                <w:sz w:val="16"/>
              </w:rPr>
              <w:t>Never override an issuer figure without documented reason</w:t>
            </w:r>
          </w:p>
        </w:tc>
      </w:tr>
    </w:tbl>
    <w:p>
      <w:r>
        <w:rPr>
          <w:b/>
        </w:rPr>
        <w:t xml:space="preserve">Why this hierarchy matters. </w:t>
      </w:r>
      <w:r>
        <w:t>Financial data can appear identical while carrying different bases—for example, consolidated versus segment reporting, INR versus USD, or adjusted versus unadjusted profit. The source hierarchy therefore reduces the chance that a clean numerical table creates false comparability.</w:t>
      </w:r>
    </w:p>
    <w:p>
      <w:pPr>
        <w:pStyle w:val="Heading2"/>
      </w:pPr>
      <w:r>
        <w:t>2.2 Step-by-step collection procedure</w:t>
      </w:r>
    </w:p>
    <w:p>
      <w:pPr>
        <w:pStyle w:val="ListNumber"/>
        <w:spacing w:after="80"/>
      </w:pPr>
      <w:r>
        <w:t>Define the observation key as Company + Fiscal Quarter + Metric. This prevents a number from being stored without its time and company context.</w:t>
      </w:r>
    </w:p>
    <w:p>
      <w:pPr>
        <w:pStyle w:val="ListNumber"/>
        <w:spacing w:after="80"/>
      </w:pPr>
      <w:r>
        <w:t>Locate the issuer result page or filing corresponding to the quarter. Record publication date, period end, units, reporting standard and whether the figure is consolidated or segment-level.</w:t>
      </w:r>
    </w:p>
    <w:p>
      <w:pPr>
        <w:pStyle w:val="ListNumber"/>
        <w:spacing w:after="80"/>
      </w:pPr>
      <w:r>
        <w:t>Extract the core financial series—revenue, operating profit and net profit—into the raw layer. Preserve the original source URL and source type alongside the value.</w:t>
      </w:r>
    </w:p>
    <w:p>
      <w:pPr>
        <w:pStyle w:val="ListNumber"/>
        <w:spacing w:after="80"/>
      </w:pPr>
      <w:r>
        <w:t>Use a structured public-data series only to accelerate historical panel construction. Mark these rows as secondary until issuer-level reconciliation is complete.</w:t>
      </w:r>
    </w:p>
    <w:p>
      <w:pPr>
        <w:pStyle w:val="ListNumber"/>
        <w:spacing w:after="80"/>
      </w:pPr>
      <w:r>
        <w:t>Run unit checks. Convert INR million/lakh/crore conventions into INR crore using explicit factors; preserve source currency in the source log where conversion matters.</w:t>
      </w:r>
    </w:p>
    <w:p>
      <w:pPr>
        <w:pStyle w:val="ListNumber"/>
        <w:spacing w:after="80"/>
      </w:pPr>
      <w:r>
        <w:t>Normalize fiscal-quarter labels so Q1 FY24 through Q1 FY27 are chronologically sortable and comparable across issuers.</w:t>
      </w:r>
    </w:p>
    <w:p>
      <w:pPr>
        <w:pStyle w:val="ListNumber"/>
        <w:spacing w:after="80"/>
      </w:pPr>
      <w:r>
        <w:t>Calculate derived metrics only after the core financial inputs are stored and checked. This avoids hard-coding ratios that can become detached from their inputs.</w:t>
      </w:r>
    </w:p>
    <w:p>
      <w:pPr>
        <w:pStyle w:val="ListNumber"/>
        <w:spacing w:after="80"/>
      </w:pPr>
      <w:r>
        <w:t>Complete the QA sheet and assign PASS or FLAG status. A flagged item is not deleted; it is carried forward with a documented treatment so downstream analysts can see the limitation.</w:t>
      </w:r>
    </w:p>
    <w:p>
      <w:pPr>
        <w:pStyle w:val="Heading1"/>
      </w:pPr>
      <w:r>
        <w:t>3. Data Fields and Cleaning Rules</w:t>
      </w:r>
    </w:p>
    <w:p>
      <w:r>
        <w:t>The companion workbook contains a formal data dictionary. The fields below are the minimum structure required for the four-company quarterly panel and the later analytical tasks.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tcMar>
              <w:top w:w="90" w:type="dxa"/>
              <w:start w:w="90" w:type="dxa"/>
              <w:bottom w:w="90" w:type="dxa"/>
              <w:end w:w="90" w:type="dxa"/>
            </w:tcMar>
            <w:shd w:fill="17365D"/>
          </w:tcPr>
          <w:p>
            <w:pPr>
              <w:jc w:val="center"/>
            </w:pPr>
            <w:r/>
            <w:r>
              <w:rPr>
                <w:b/>
                <w:color w:val="FFFFFF"/>
                <w:sz w:val="16"/>
              </w:rPr>
              <w:t>Field</w:t>
            </w:r>
          </w:p>
        </w:tc>
        <w:tc>
          <w:tcPr>
            <w:tcW w:type="dxa" w:w="5544"/>
            <w:vAlign w:val="center"/>
            <w:tcMar>
              <w:top w:w="90" w:type="dxa"/>
              <w:start w:w="90" w:type="dxa"/>
              <w:bottom w:w="90" w:type="dxa"/>
              <w:end w:w="90" w:type="dxa"/>
            </w:tcMar>
            <w:shd w:fill="17365D"/>
          </w:tcPr>
          <w:p>
            <w:pPr>
              <w:jc w:val="center"/>
            </w:pPr>
            <w:r/>
            <w:r>
              <w:rPr>
                <w:b/>
                <w:color w:val="FFFFFF"/>
                <w:sz w:val="16"/>
              </w:rPr>
              <w:t>Definition / treatment</w:t>
            </w:r>
          </w:p>
        </w:tc>
        <w:tc>
          <w:tcPr>
            <w:tcW w:type="dxa" w:w="2448"/>
            <w:vAlign w:val="center"/>
            <w:tcMar>
              <w:top w:w="90" w:type="dxa"/>
              <w:start w:w="90" w:type="dxa"/>
              <w:bottom w:w="90" w:type="dxa"/>
              <w:end w:w="90" w:type="dxa"/>
            </w:tcMar>
            <w:shd w:fill="17365D"/>
          </w:tcPr>
          <w:p>
            <w:pPr>
              <w:jc w:val="center"/>
            </w:pPr>
            <w:r/>
            <w:r>
              <w:rPr>
                <w:b/>
                <w:color w:val="FFFFFF"/>
                <w:sz w:val="16"/>
              </w:rPr>
              <w:t>Downstream use</w:t>
            </w:r>
          </w:p>
        </w:tc>
      </w:tr>
      <w:tr>
        <w:tc>
          <w:tcPr>
            <w:tcW w:type="dxa" w:w="2160"/>
            <w:vAlign w:val="center"/>
            <w:tcMar>
              <w:top w:w="90" w:type="dxa"/>
              <w:start w:w="90" w:type="dxa"/>
              <w:bottom w:w="90" w:type="dxa"/>
              <w:end w:w="90" w:type="dxa"/>
            </w:tcMar>
            <w:shd w:fill="F7FAFC"/>
          </w:tcPr>
          <w:p>
            <w:pPr>
              <w:jc w:val="left"/>
            </w:pPr>
            <w:r/>
            <w:r>
              <w:rPr>
                <w:b w:val="0"/>
                <w:color w:val="1F2937"/>
                <w:sz w:val="16"/>
              </w:rPr>
              <w:t>Company</w:t>
            </w:r>
          </w:p>
        </w:tc>
        <w:tc>
          <w:tcPr>
            <w:tcW w:type="dxa" w:w="5544"/>
            <w:vAlign w:val="center"/>
            <w:tcMar>
              <w:top w:w="90" w:type="dxa"/>
              <w:start w:w="90" w:type="dxa"/>
              <w:bottom w:w="90" w:type="dxa"/>
              <w:end w:w="90" w:type="dxa"/>
            </w:tcMar>
            <w:shd w:fill="F7FAFC"/>
          </w:tcPr>
          <w:p>
            <w:pPr>
              <w:jc w:val="left"/>
            </w:pPr>
            <w:r/>
            <w:r>
              <w:rPr>
                <w:b w:val="0"/>
                <w:color w:val="1F2937"/>
                <w:sz w:val="16"/>
              </w:rPr>
              <w:t>Standard label: TCS, Infosys, HCLTech, Wipro</w:t>
            </w:r>
          </w:p>
        </w:tc>
        <w:tc>
          <w:tcPr>
            <w:tcW w:type="dxa" w:w="2448"/>
            <w:vAlign w:val="center"/>
            <w:tcMar>
              <w:top w:w="90" w:type="dxa"/>
              <w:start w:w="90" w:type="dxa"/>
              <w:bottom w:w="90" w:type="dxa"/>
              <w:end w:w="90" w:type="dxa"/>
            </w:tcMar>
            <w:shd w:fill="F7FAFC"/>
          </w:tcPr>
          <w:p>
            <w:pPr>
              <w:jc w:val="left"/>
            </w:pPr>
            <w:r/>
            <w:r>
              <w:rPr>
                <w:b w:val="0"/>
                <w:color w:val="1F2937"/>
                <w:sz w:val="16"/>
              </w:rPr>
              <w:t>Peer grouping</w:t>
            </w:r>
          </w:p>
        </w:tc>
      </w:tr>
      <w:tr>
        <w:tc>
          <w:tcPr>
            <w:tcW w:type="dxa" w:w="2160"/>
            <w:vAlign w:val="center"/>
            <w:tcMar>
              <w:top w:w="90" w:type="dxa"/>
              <w:start w:w="90" w:type="dxa"/>
              <w:bottom w:w="90" w:type="dxa"/>
              <w:end w:w="90" w:type="dxa"/>
            </w:tcMar>
          </w:tcPr>
          <w:p>
            <w:pPr>
              <w:jc w:val="left"/>
            </w:pPr>
            <w:r/>
            <w:r>
              <w:rPr>
                <w:b w:val="0"/>
                <w:color w:val="1F2937"/>
                <w:sz w:val="16"/>
              </w:rPr>
              <w:t>Period End</w:t>
            </w:r>
          </w:p>
        </w:tc>
        <w:tc>
          <w:tcPr>
            <w:tcW w:type="dxa" w:w="5544"/>
            <w:vAlign w:val="center"/>
            <w:tcMar>
              <w:top w:w="90" w:type="dxa"/>
              <w:start w:w="90" w:type="dxa"/>
              <w:bottom w:w="90" w:type="dxa"/>
              <w:end w:w="90" w:type="dxa"/>
            </w:tcMar>
          </w:tcPr>
          <w:p>
            <w:pPr>
              <w:jc w:val="left"/>
            </w:pPr>
            <w:r/>
            <w:r>
              <w:rPr>
                <w:b w:val="0"/>
                <w:color w:val="1F2937"/>
                <w:sz w:val="16"/>
              </w:rPr>
              <w:t>Quarter-end label: Jun-23 through Jun-26</w:t>
            </w:r>
          </w:p>
        </w:tc>
        <w:tc>
          <w:tcPr>
            <w:tcW w:type="dxa" w:w="2448"/>
            <w:vAlign w:val="center"/>
            <w:tcMar>
              <w:top w:w="90" w:type="dxa"/>
              <w:start w:w="90" w:type="dxa"/>
              <w:bottom w:w="90" w:type="dxa"/>
              <w:end w:w="90" w:type="dxa"/>
            </w:tcMar>
          </w:tcPr>
          <w:p>
            <w:pPr>
              <w:jc w:val="left"/>
            </w:pPr>
            <w:r/>
            <w:r>
              <w:rPr>
                <w:b w:val="0"/>
                <w:color w:val="1F2937"/>
                <w:sz w:val="16"/>
              </w:rPr>
              <w:t>Time ordering</w:t>
            </w:r>
          </w:p>
        </w:tc>
      </w:tr>
      <w:tr>
        <w:tc>
          <w:tcPr>
            <w:tcW w:type="dxa" w:w="2160"/>
            <w:vAlign w:val="center"/>
            <w:tcMar>
              <w:top w:w="90" w:type="dxa"/>
              <w:start w:w="90" w:type="dxa"/>
              <w:bottom w:w="90" w:type="dxa"/>
              <w:end w:w="90" w:type="dxa"/>
            </w:tcMar>
            <w:shd w:fill="F7FAFC"/>
          </w:tcPr>
          <w:p>
            <w:pPr>
              <w:jc w:val="left"/>
            </w:pPr>
            <w:r/>
            <w:r>
              <w:rPr>
                <w:b w:val="0"/>
                <w:color w:val="1F2937"/>
                <w:sz w:val="16"/>
              </w:rPr>
              <w:t>Fiscal Quarter</w:t>
            </w:r>
          </w:p>
        </w:tc>
        <w:tc>
          <w:tcPr>
            <w:tcW w:type="dxa" w:w="5544"/>
            <w:vAlign w:val="center"/>
            <w:tcMar>
              <w:top w:w="90" w:type="dxa"/>
              <w:start w:w="90" w:type="dxa"/>
              <w:bottom w:w="90" w:type="dxa"/>
              <w:end w:w="90" w:type="dxa"/>
            </w:tcMar>
            <w:shd w:fill="F7FAFC"/>
          </w:tcPr>
          <w:p>
            <w:pPr>
              <w:jc w:val="left"/>
            </w:pPr>
            <w:r/>
            <w:r>
              <w:rPr>
                <w:b w:val="0"/>
                <w:color w:val="1F2937"/>
                <w:sz w:val="16"/>
              </w:rPr>
              <w:t>Q1 FY24 through Q1 FY27</w:t>
            </w:r>
          </w:p>
        </w:tc>
        <w:tc>
          <w:tcPr>
            <w:tcW w:type="dxa" w:w="2448"/>
            <w:vAlign w:val="center"/>
            <w:tcMar>
              <w:top w:w="90" w:type="dxa"/>
              <w:start w:w="90" w:type="dxa"/>
              <w:bottom w:w="90" w:type="dxa"/>
              <w:end w:w="90" w:type="dxa"/>
            </w:tcMar>
            <w:shd w:fill="F7FAFC"/>
          </w:tcPr>
          <w:p>
            <w:pPr>
              <w:jc w:val="left"/>
            </w:pPr>
            <w:r/>
            <w:r>
              <w:rPr>
                <w:b w:val="0"/>
                <w:color w:val="1F2937"/>
                <w:sz w:val="16"/>
              </w:rPr>
              <w:t>Seasonality / back-testing</w:t>
            </w:r>
          </w:p>
        </w:tc>
      </w:tr>
      <w:tr>
        <w:tc>
          <w:tcPr>
            <w:tcW w:type="dxa" w:w="2160"/>
            <w:vAlign w:val="center"/>
            <w:tcMar>
              <w:top w:w="90" w:type="dxa"/>
              <w:start w:w="90" w:type="dxa"/>
              <w:bottom w:w="90" w:type="dxa"/>
              <w:end w:w="90" w:type="dxa"/>
            </w:tcMar>
          </w:tcPr>
          <w:p>
            <w:pPr>
              <w:jc w:val="left"/>
            </w:pPr>
            <w:r/>
            <w:r>
              <w:rPr>
                <w:b w:val="0"/>
                <w:color w:val="1F2937"/>
                <w:sz w:val="16"/>
              </w:rPr>
              <w:t>Revenue (INR Cr)</w:t>
            </w:r>
          </w:p>
        </w:tc>
        <w:tc>
          <w:tcPr>
            <w:tcW w:type="dxa" w:w="5544"/>
            <w:vAlign w:val="center"/>
            <w:tcMar>
              <w:top w:w="90" w:type="dxa"/>
              <w:start w:w="90" w:type="dxa"/>
              <w:bottom w:w="90" w:type="dxa"/>
              <w:end w:w="90" w:type="dxa"/>
            </w:tcMar>
          </w:tcPr>
          <w:p>
            <w:pPr>
              <w:jc w:val="left"/>
            </w:pPr>
            <w:r/>
            <w:r>
              <w:rPr>
                <w:b w:val="0"/>
                <w:color w:val="1F2937"/>
                <w:sz w:val="16"/>
              </w:rPr>
              <w:t>Standardized financial input</w:t>
            </w:r>
          </w:p>
        </w:tc>
        <w:tc>
          <w:tcPr>
            <w:tcW w:type="dxa" w:w="2448"/>
            <w:vAlign w:val="center"/>
            <w:tcMar>
              <w:top w:w="90" w:type="dxa"/>
              <w:start w:w="90" w:type="dxa"/>
              <w:bottom w:w="90" w:type="dxa"/>
              <w:end w:w="90" w:type="dxa"/>
            </w:tcMar>
          </w:tcPr>
          <w:p>
            <w:pPr>
              <w:jc w:val="left"/>
            </w:pPr>
            <w:r/>
            <w:r>
              <w:rPr>
                <w:b w:val="0"/>
                <w:color w:val="1F2937"/>
                <w:sz w:val="16"/>
              </w:rPr>
              <w:t>Growth and forecast target</w:t>
            </w:r>
          </w:p>
        </w:tc>
      </w:tr>
      <w:tr>
        <w:tc>
          <w:tcPr>
            <w:tcW w:type="dxa" w:w="2160"/>
            <w:vAlign w:val="center"/>
            <w:tcMar>
              <w:top w:w="90" w:type="dxa"/>
              <w:start w:w="90" w:type="dxa"/>
              <w:bottom w:w="90" w:type="dxa"/>
              <w:end w:w="90" w:type="dxa"/>
            </w:tcMar>
            <w:shd w:fill="F7FAFC"/>
          </w:tcPr>
          <w:p>
            <w:pPr>
              <w:jc w:val="left"/>
            </w:pPr>
            <w:r/>
            <w:r>
              <w:rPr>
                <w:b w:val="0"/>
                <w:color w:val="1F2937"/>
                <w:sz w:val="16"/>
              </w:rPr>
              <w:t>Operating Profit (INR Cr)</w:t>
            </w:r>
          </w:p>
        </w:tc>
        <w:tc>
          <w:tcPr>
            <w:tcW w:type="dxa" w:w="5544"/>
            <w:vAlign w:val="center"/>
            <w:tcMar>
              <w:top w:w="90" w:type="dxa"/>
              <w:start w:w="90" w:type="dxa"/>
              <w:bottom w:w="90" w:type="dxa"/>
              <w:end w:w="90" w:type="dxa"/>
            </w:tcMar>
            <w:shd w:fill="F7FAFC"/>
          </w:tcPr>
          <w:p>
            <w:pPr>
              <w:jc w:val="left"/>
            </w:pPr>
            <w:r/>
            <w:r>
              <w:rPr>
                <w:b w:val="0"/>
                <w:color w:val="1F2937"/>
                <w:sz w:val="16"/>
              </w:rPr>
              <w:t>Standardized operating profit input</w:t>
            </w:r>
          </w:p>
        </w:tc>
        <w:tc>
          <w:tcPr>
            <w:tcW w:type="dxa" w:w="2448"/>
            <w:vAlign w:val="center"/>
            <w:tcMar>
              <w:top w:w="90" w:type="dxa"/>
              <w:start w:w="90" w:type="dxa"/>
              <w:bottom w:w="90" w:type="dxa"/>
              <w:end w:w="90" w:type="dxa"/>
            </w:tcMar>
            <w:shd w:fill="F7FAFC"/>
          </w:tcPr>
          <w:p>
            <w:pPr>
              <w:jc w:val="left"/>
            </w:pPr>
            <w:r/>
            <w:r>
              <w:rPr>
                <w:b w:val="0"/>
                <w:color w:val="1F2937"/>
                <w:sz w:val="16"/>
              </w:rPr>
              <w:t>Operating margin</w:t>
            </w:r>
          </w:p>
        </w:tc>
      </w:tr>
      <w:tr>
        <w:tc>
          <w:tcPr>
            <w:tcW w:type="dxa" w:w="2160"/>
            <w:vAlign w:val="center"/>
            <w:tcMar>
              <w:top w:w="90" w:type="dxa"/>
              <w:start w:w="90" w:type="dxa"/>
              <w:bottom w:w="90" w:type="dxa"/>
              <w:end w:w="90" w:type="dxa"/>
            </w:tcMar>
          </w:tcPr>
          <w:p>
            <w:pPr>
              <w:jc w:val="left"/>
            </w:pPr>
            <w:r/>
            <w:r>
              <w:rPr>
                <w:b w:val="0"/>
                <w:color w:val="1F2937"/>
                <w:sz w:val="16"/>
              </w:rPr>
              <w:t>Net Profit (INR Cr)</w:t>
            </w:r>
          </w:p>
        </w:tc>
        <w:tc>
          <w:tcPr>
            <w:tcW w:type="dxa" w:w="5544"/>
            <w:vAlign w:val="center"/>
            <w:tcMar>
              <w:top w:w="90" w:type="dxa"/>
              <w:start w:w="90" w:type="dxa"/>
              <w:bottom w:w="90" w:type="dxa"/>
              <w:end w:w="90" w:type="dxa"/>
            </w:tcMar>
          </w:tcPr>
          <w:p>
            <w:pPr>
              <w:jc w:val="left"/>
            </w:pPr>
            <w:r/>
            <w:r>
              <w:rPr>
                <w:b w:val="0"/>
                <w:color w:val="1F2937"/>
                <w:sz w:val="16"/>
              </w:rPr>
              <w:t>Standardized net profit input</w:t>
            </w:r>
          </w:p>
        </w:tc>
        <w:tc>
          <w:tcPr>
            <w:tcW w:type="dxa" w:w="2448"/>
            <w:vAlign w:val="center"/>
            <w:tcMar>
              <w:top w:w="90" w:type="dxa"/>
              <w:start w:w="90" w:type="dxa"/>
              <w:bottom w:w="90" w:type="dxa"/>
              <w:end w:w="90" w:type="dxa"/>
            </w:tcMar>
          </w:tcPr>
          <w:p>
            <w:pPr>
              <w:jc w:val="left"/>
            </w:pPr>
            <w:r/>
            <w:r>
              <w:rPr>
                <w:b w:val="0"/>
                <w:color w:val="1F2937"/>
                <w:sz w:val="16"/>
              </w:rPr>
              <w:t>Net margin / earnings quality</w:t>
            </w:r>
          </w:p>
        </w:tc>
      </w:tr>
      <w:tr>
        <w:tc>
          <w:tcPr>
            <w:tcW w:type="dxa" w:w="2160"/>
            <w:vAlign w:val="center"/>
            <w:tcMar>
              <w:top w:w="90" w:type="dxa"/>
              <w:start w:w="90" w:type="dxa"/>
              <w:bottom w:w="90" w:type="dxa"/>
              <w:end w:w="90" w:type="dxa"/>
            </w:tcMar>
            <w:shd w:fill="F7FAFC"/>
          </w:tcPr>
          <w:p>
            <w:pPr>
              <w:jc w:val="left"/>
            </w:pPr>
            <w:r/>
            <w:r>
              <w:rPr>
                <w:b w:val="0"/>
                <w:color w:val="1F2937"/>
                <w:sz w:val="16"/>
              </w:rPr>
              <w:t>QoQ Revenue Growth</w:t>
            </w:r>
          </w:p>
        </w:tc>
        <w:tc>
          <w:tcPr>
            <w:tcW w:type="dxa" w:w="5544"/>
            <w:vAlign w:val="center"/>
            <w:tcMar>
              <w:top w:w="90" w:type="dxa"/>
              <w:start w:w="90" w:type="dxa"/>
              <w:bottom w:w="90" w:type="dxa"/>
              <w:end w:w="90" w:type="dxa"/>
            </w:tcMar>
            <w:shd w:fill="F7FAFC"/>
          </w:tcPr>
          <w:p>
            <w:pPr>
              <w:jc w:val="left"/>
            </w:pPr>
            <w:r/>
            <w:r>
              <w:rPr>
                <w:b w:val="0"/>
                <w:color w:val="1F2937"/>
                <w:sz w:val="16"/>
              </w:rPr>
              <w:t>Current revenue / prior quarter revenue − 1</w:t>
            </w:r>
          </w:p>
        </w:tc>
        <w:tc>
          <w:tcPr>
            <w:tcW w:type="dxa" w:w="2448"/>
            <w:vAlign w:val="center"/>
            <w:tcMar>
              <w:top w:w="90" w:type="dxa"/>
              <w:start w:w="90" w:type="dxa"/>
              <w:bottom w:w="90" w:type="dxa"/>
              <w:end w:w="90" w:type="dxa"/>
            </w:tcMar>
            <w:shd w:fill="F7FAFC"/>
          </w:tcPr>
          <w:p>
            <w:pPr>
              <w:jc w:val="left"/>
            </w:pPr>
            <w:r/>
            <w:r>
              <w:rPr>
                <w:b w:val="0"/>
                <w:color w:val="1F2937"/>
                <w:sz w:val="16"/>
              </w:rPr>
              <w:t>Near-term trend</w:t>
            </w:r>
          </w:p>
        </w:tc>
      </w:tr>
      <w:tr>
        <w:tc>
          <w:tcPr>
            <w:tcW w:type="dxa" w:w="2160"/>
            <w:vAlign w:val="center"/>
            <w:tcMar>
              <w:top w:w="90" w:type="dxa"/>
              <w:start w:w="90" w:type="dxa"/>
              <w:bottom w:w="90" w:type="dxa"/>
              <w:end w:w="90" w:type="dxa"/>
            </w:tcMar>
          </w:tcPr>
          <w:p>
            <w:pPr>
              <w:jc w:val="left"/>
            </w:pPr>
            <w:r/>
            <w:r>
              <w:rPr>
                <w:b w:val="0"/>
                <w:color w:val="1F2937"/>
                <w:sz w:val="16"/>
              </w:rPr>
              <w:t>YoY Revenue Growth</w:t>
            </w:r>
          </w:p>
        </w:tc>
        <w:tc>
          <w:tcPr>
            <w:tcW w:type="dxa" w:w="5544"/>
            <w:vAlign w:val="center"/>
            <w:tcMar>
              <w:top w:w="90" w:type="dxa"/>
              <w:start w:w="90" w:type="dxa"/>
              <w:bottom w:w="90" w:type="dxa"/>
              <w:end w:w="90" w:type="dxa"/>
            </w:tcMar>
          </w:tcPr>
          <w:p>
            <w:pPr>
              <w:jc w:val="left"/>
            </w:pPr>
            <w:r/>
            <w:r>
              <w:rPr>
                <w:b w:val="0"/>
                <w:color w:val="1F2937"/>
                <w:sz w:val="16"/>
              </w:rPr>
              <w:t>Current revenue / same quarter prior year − 1</w:t>
            </w:r>
          </w:p>
        </w:tc>
        <w:tc>
          <w:tcPr>
            <w:tcW w:type="dxa" w:w="2448"/>
            <w:vAlign w:val="center"/>
            <w:tcMar>
              <w:top w:w="90" w:type="dxa"/>
              <w:start w:w="90" w:type="dxa"/>
              <w:bottom w:w="90" w:type="dxa"/>
              <w:end w:w="90" w:type="dxa"/>
            </w:tcMar>
          </w:tcPr>
          <w:p>
            <w:pPr>
              <w:jc w:val="left"/>
            </w:pPr>
            <w:r/>
            <w:r>
              <w:rPr>
                <w:b w:val="0"/>
                <w:color w:val="1F2937"/>
                <w:sz w:val="16"/>
              </w:rPr>
              <w:t>Underlying trend / seasonality</w:t>
            </w:r>
          </w:p>
        </w:tc>
      </w:tr>
      <w:tr>
        <w:tc>
          <w:tcPr>
            <w:tcW w:type="dxa" w:w="2160"/>
            <w:vAlign w:val="center"/>
            <w:tcMar>
              <w:top w:w="90" w:type="dxa"/>
              <w:start w:w="90" w:type="dxa"/>
              <w:bottom w:w="90" w:type="dxa"/>
              <w:end w:w="90" w:type="dxa"/>
            </w:tcMar>
            <w:shd w:fill="F7FAFC"/>
          </w:tcPr>
          <w:p>
            <w:pPr>
              <w:jc w:val="left"/>
            </w:pPr>
            <w:r/>
            <w:r>
              <w:rPr>
                <w:b w:val="0"/>
                <w:color w:val="1F2937"/>
                <w:sz w:val="16"/>
              </w:rPr>
              <w:t>Operating Margin</w:t>
            </w:r>
          </w:p>
        </w:tc>
        <w:tc>
          <w:tcPr>
            <w:tcW w:type="dxa" w:w="5544"/>
            <w:vAlign w:val="center"/>
            <w:tcMar>
              <w:top w:w="90" w:type="dxa"/>
              <w:start w:w="90" w:type="dxa"/>
              <w:bottom w:w="90" w:type="dxa"/>
              <w:end w:w="90" w:type="dxa"/>
            </w:tcMar>
            <w:shd w:fill="F7FAFC"/>
          </w:tcPr>
          <w:p>
            <w:pPr>
              <w:jc w:val="left"/>
            </w:pPr>
            <w:r/>
            <w:r>
              <w:rPr>
                <w:b w:val="0"/>
                <w:color w:val="1F2937"/>
                <w:sz w:val="16"/>
              </w:rPr>
              <w:t>Operating profit / revenue</w:t>
            </w:r>
          </w:p>
        </w:tc>
        <w:tc>
          <w:tcPr>
            <w:tcW w:type="dxa" w:w="2448"/>
            <w:vAlign w:val="center"/>
            <w:tcMar>
              <w:top w:w="90" w:type="dxa"/>
              <w:start w:w="90" w:type="dxa"/>
              <w:bottom w:w="90" w:type="dxa"/>
              <w:end w:w="90" w:type="dxa"/>
            </w:tcMar>
            <w:shd w:fill="F7FAFC"/>
          </w:tcPr>
          <w:p>
            <w:pPr>
              <w:jc w:val="left"/>
            </w:pPr>
            <w:r/>
            <w:r>
              <w:rPr>
                <w:b w:val="0"/>
                <w:color w:val="1F2937"/>
                <w:sz w:val="16"/>
              </w:rPr>
              <w:t>Profitability comparison</w:t>
            </w:r>
          </w:p>
        </w:tc>
      </w:tr>
      <w:tr>
        <w:tc>
          <w:tcPr>
            <w:tcW w:type="dxa" w:w="2160"/>
            <w:vAlign w:val="center"/>
            <w:tcMar>
              <w:top w:w="90" w:type="dxa"/>
              <w:start w:w="90" w:type="dxa"/>
              <w:bottom w:w="90" w:type="dxa"/>
              <w:end w:w="90" w:type="dxa"/>
            </w:tcMar>
          </w:tcPr>
          <w:p>
            <w:pPr>
              <w:jc w:val="left"/>
            </w:pPr>
            <w:r/>
            <w:r>
              <w:rPr>
                <w:b w:val="0"/>
                <w:color w:val="1F2937"/>
                <w:sz w:val="16"/>
              </w:rPr>
              <w:t>Net Margin</w:t>
            </w:r>
          </w:p>
        </w:tc>
        <w:tc>
          <w:tcPr>
            <w:tcW w:type="dxa" w:w="5544"/>
            <w:vAlign w:val="center"/>
            <w:tcMar>
              <w:top w:w="90" w:type="dxa"/>
              <w:start w:w="90" w:type="dxa"/>
              <w:bottom w:w="90" w:type="dxa"/>
              <w:end w:w="90" w:type="dxa"/>
            </w:tcMar>
          </w:tcPr>
          <w:p>
            <w:pPr>
              <w:jc w:val="left"/>
            </w:pPr>
            <w:r/>
            <w:r>
              <w:rPr>
                <w:b w:val="0"/>
                <w:color w:val="1F2937"/>
                <w:sz w:val="16"/>
              </w:rPr>
              <w:t>Net profit / revenue</w:t>
            </w:r>
          </w:p>
        </w:tc>
        <w:tc>
          <w:tcPr>
            <w:tcW w:type="dxa" w:w="2448"/>
            <w:vAlign w:val="center"/>
            <w:tcMar>
              <w:top w:w="90" w:type="dxa"/>
              <w:start w:w="90" w:type="dxa"/>
              <w:bottom w:w="90" w:type="dxa"/>
              <w:end w:w="90" w:type="dxa"/>
            </w:tcMar>
          </w:tcPr>
          <w:p>
            <w:pPr>
              <w:jc w:val="left"/>
            </w:pPr>
            <w:r/>
            <w:r>
              <w:rPr>
                <w:b w:val="0"/>
                <w:color w:val="1F2937"/>
                <w:sz w:val="16"/>
              </w:rPr>
              <w:t>Earnings quality</w:t>
            </w:r>
          </w:p>
        </w:tc>
      </w:tr>
      <w:tr>
        <w:tc>
          <w:tcPr>
            <w:tcW w:type="dxa" w:w="2160"/>
            <w:vAlign w:val="center"/>
            <w:tcMar>
              <w:top w:w="90" w:type="dxa"/>
              <w:start w:w="90" w:type="dxa"/>
              <w:bottom w:w="90" w:type="dxa"/>
              <w:end w:w="90" w:type="dxa"/>
            </w:tcMar>
            <w:shd w:fill="F7FAFC"/>
          </w:tcPr>
          <w:p>
            <w:pPr>
              <w:jc w:val="left"/>
            </w:pPr>
            <w:r/>
            <w:r>
              <w:rPr>
                <w:b w:val="0"/>
                <w:color w:val="1F2937"/>
                <w:sz w:val="16"/>
              </w:rPr>
              <w:t>Source Type / URL</w:t>
            </w:r>
          </w:p>
        </w:tc>
        <w:tc>
          <w:tcPr>
            <w:tcW w:type="dxa" w:w="5544"/>
            <w:vAlign w:val="center"/>
            <w:tcMar>
              <w:top w:w="90" w:type="dxa"/>
              <w:start w:w="90" w:type="dxa"/>
              <w:bottom w:w="90" w:type="dxa"/>
              <w:end w:w="90" w:type="dxa"/>
            </w:tcMar>
            <w:shd w:fill="F7FAFC"/>
          </w:tcPr>
          <w:p>
            <w:pPr>
              <w:jc w:val="left"/>
            </w:pPr>
            <w:r/>
            <w:r>
              <w:rPr>
                <w:b w:val="0"/>
                <w:color w:val="1F2937"/>
                <w:sz w:val="16"/>
              </w:rPr>
              <w:t>Evidence trail for each row</w:t>
            </w:r>
          </w:p>
        </w:tc>
        <w:tc>
          <w:tcPr>
            <w:tcW w:type="dxa" w:w="2448"/>
            <w:vAlign w:val="center"/>
            <w:tcMar>
              <w:top w:w="90" w:type="dxa"/>
              <w:start w:w="90" w:type="dxa"/>
              <w:bottom w:w="90" w:type="dxa"/>
              <w:end w:w="90" w:type="dxa"/>
            </w:tcMar>
            <w:shd w:fill="F7FAFC"/>
          </w:tcPr>
          <w:p>
            <w:pPr>
              <w:jc w:val="left"/>
            </w:pPr>
            <w:r/>
            <w:r>
              <w:rPr>
                <w:b w:val="0"/>
                <w:color w:val="1F2937"/>
                <w:sz w:val="16"/>
              </w:rPr>
              <w:t>Auditability</w:t>
            </w:r>
          </w:p>
        </w:tc>
      </w:tr>
      <w:tr>
        <w:tc>
          <w:tcPr>
            <w:tcW w:type="dxa" w:w="2160"/>
            <w:vAlign w:val="center"/>
            <w:tcMar>
              <w:top w:w="90" w:type="dxa"/>
              <w:start w:w="90" w:type="dxa"/>
              <w:bottom w:w="90" w:type="dxa"/>
              <w:end w:w="90" w:type="dxa"/>
            </w:tcMar>
          </w:tcPr>
          <w:p>
            <w:pPr>
              <w:jc w:val="left"/>
            </w:pPr>
            <w:r/>
            <w:r>
              <w:rPr>
                <w:b w:val="0"/>
                <w:color w:val="1F2937"/>
                <w:sz w:val="16"/>
              </w:rPr>
              <w:t>Data Status</w:t>
            </w:r>
          </w:p>
        </w:tc>
        <w:tc>
          <w:tcPr>
            <w:tcW w:type="dxa" w:w="5544"/>
            <w:vAlign w:val="center"/>
            <w:tcMar>
              <w:top w:w="90" w:type="dxa"/>
              <w:start w:w="90" w:type="dxa"/>
              <w:bottom w:w="90" w:type="dxa"/>
              <w:end w:w="90" w:type="dxa"/>
            </w:tcMar>
          </w:tcPr>
          <w:p>
            <w:pPr>
              <w:jc w:val="left"/>
            </w:pPr>
            <w:r/>
            <w:r>
              <w:rPr>
                <w:b w:val="0"/>
                <w:color w:val="1F2937"/>
                <w:sz w:val="16"/>
              </w:rPr>
              <w:t>Historical secondary extraction vs current issuer cross-check</w:t>
            </w:r>
          </w:p>
        </w:tc>
        <w:tc>
          <w:tcPr>
            <w:tcW w:type="dxa" w:w="2448"/>
            <w:vAlign w:val="center"/>
            <w:tcMar>
              <w:top w:w="90" w:type="dxa"/>
              <w:start w:w="90" w:type="dxa"/>
              <w:bottom w:w="90" w:type="dxa"/>
              <w:end w:w="90" w:type="dxa"/>
            </w:tcMar>
          </w:tcPr>
          <w:p>
            <w:pPr>
              <w:jc w:val="left"/>
            </w:pPr>
            <w:r/>
            <w:r>
              <w:rPr>
                <w:b w:val="0"/>
                <w:color w:val="1F2937"/>
                <w:sz w:val="16"/>
              </w:rPr>
              <w:t>QA and handoff</w:t>
            </w:r>
          </w:p>
        </w:tc>
      </w:tr>
    </w:tbl>
    <w:p>
      <w:pPr>
        <w:pStyle w:val="Heading2"/>
      </w:pPr>
      <w:r>
        <w:t>3.1 Standardization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90" w:type="dxa"/>
              <w:start w:w="90" w:type="dxa"/>
              <w:bottom w:w="90" w:type="dxa"/>
              <w:end w:w="90" w:type="dxa"/>
            </w:tcMar>
            <w:shd w:fill="17365D"/>
          </w:tcPr>
          <w:p>
            <w:pPr>
              <w:jc w:val="center"/>
            </w:pPr>
            <w:r/>
            <w:r>
              <w:rPr>
                <w:b/>
                <w:color w:val="FFFFFF"/>
                <w:sz w:val="16"/>
              </w:rPr>
              <w:t>Issue</w:t>
            </w:r>
          </w:p>
        </w:tc>
        <w:tc>
          <w:tcPr>
            <w:tcW w:type="dxa" w:w="5472"/>
            <w:vAlign w:val="center"/>
            <w:tcMar>
              <w:top w:w="90" w:type="dxa"/>
              <w:start w:w="90" w:type="dxa"/>
              <w:bottom w:w="90" w:type="dxa"/>
              <w:end w:w="90" w:type="dxa"/>
            </w:tcMar>
            <w:shd w:fill="17365D"/>
          </w:tcPr>
          <w:p>
            <w:pPr>
              <w:jc w:val="center"/>
            </w:pPr>
            <w:r/>
            <w:r>
              <w:rPr>
                <w:b/>
                <w:color w:val="FFFFFF"/>
                <w:sz w:val="16"/>
              </w:rPr>
              <w:t>Rule applied</w:t>
            </w:r>
          </w:p>
        </w:tc>
        <w:tc>
          <w:tcPr>
            <w:tcW w:type="dxa" w:w="2664"/>
            <w:vAlign w:val="center"/>
            <w:tcMar>
              <w:top w:w="90" w:type="dxa"/>
              <w:start w:w="90" w:type="dxa"/>
              <w:bottom w:w="90" w:type="dxa"/>
              <w:end w:w="90" w:type="dxa"/>
            </w:tcMar>
            <w:shd w:fill="17365D"/>
          </w:tcPr>
          <w:p>
            <w:pPr>
              <w:jc w:val="center"/>
            </w:pPr>
            <w:r/>
            <w:r>
              <w:rPr>
                <w:b/>
                <w:color w:val="FFFFFF"/>
                <w:sz w:val="16"/>
              </w:rPr>
              <w:t>Rationale</w:t>
            </w:r>
          </w:p>
        </w:tc>
      </w:tr>
      <w:tr>
        <w:tc>
          <w:tcPr>
            <w:tcW w:type="dxa" w:w="2016"/>
            <w:vAlign w:val="center"/>
            <w:tcMar>
              <w:top w:w="90" w:type="dxa"/>
              <w:start w:w="90" w:type="dxa"/>
              <w:bottom w:w="90" w:type="dxa"/>
              <w:end w:w="90" w:type="dxa"/>
            </w:tcMar>
            <w:shd w:fill="F7FAFC"/>
          </w:tcPr>
          <w:p>
            <w:pPr>
              <w:jc w:val="left"/>
            </w:pPr>
            <w:r/>
            <w:r>
              <w:rPr>
                <w:b w:val="0"/>
                <w:color w:val="1F2937"/>
                <w:sz w:val="16"/>
              </w:rPr>
              <w:t>Unit mismatch</w:t>
            </w:r>
          </w:p>
        </w:tc>
        <w:tc>
          <w:tcPr>
            <w:tcW w:type="dxa" w:w="5472"/>
            <w:vAlign w:val="center"/>
            <w:tcMar>
              <w:top w:w="90" w:type="dxa"/>
              <w:start w:w="90" w:type="dxa"/>
              <w:bottom w:w="90" w:type="dxa"/>
              <w:end w:w="90" w:type="dxa"/>
            </w:tcMar>
            <w:shd w:fill="F7FAFC"/>
          </w:tcPr>
          <w:p>
            <w:pPr>
              <w:jc w:val="left"/>
            </w:pPr>
            <w:r/>
            <w:r>
              <w:rPr>
                <w:b w:val="0"/>
                <w:color w:val="1F2937"/>
                <w:sz w:val="16"/>
              </w:rPr>
              <w:t>Financial statements in the common panel are standardized to INR crore.</w:t>
            </w:r>
          </w:p>
        </w:tc>
        <w:tc>
          <w:tcPr>
            <w:tcW w:type="dxa" w:w="2664"/>
            <w:vAlign w:val="center"/>
            <w:tcMar>
              <w:top w:w="90" w:type="dxa"/>
              <w:start w:w="90" w:type="dxa"/>
              <w:bottom w:w="90" w:type="dxa"/>
              <w:end w:w="90" w:type="dxa"/>
            </w:tcMar>
            <w:shd w:fill="F7FAFC"/>
          </w:tcPr>
          <w:p>
            <w:pPr>
              <w:jc w:val="left"/>
            </w:pPr>
            <w:r/>
            <w:r>
              <w:rPr>
                <w:b w:val="0"/>
                <w:color w:val="1F2937"/>
                <w:sz w:val="16"/>
              </w:rPr>
              <w:t>Allows direct ratio and trend calculations without scale errors.</w:t>
            </w:r>
          </w:p>
        </w:tc>
      </w:tr>
      <w:tr>
        <w:tc>
          <w:tcPr>
            <w:tcW w:type="dxa" w:w="2016"/>
            <w:vAlign w:val="center"/>
            <w:tcMar>
              <w:top w:w="90" w:type="dxa"/>
              <w:start w:w="90" w:type="dxa"/>
              <w:bottom w:w="90" w:type="dxa"/>
              <w:end w:w="90" w:type="dxa"/>
            </w:tcMar>
          </w:tcPr>
          <w:p>
            <w:pPr>
              <w:jc w:val="left"/>
            </w:pPr>
            <w:r/>
            <w:r>
              <w:rPr>
                <w:b w:val="0"/>
                <w:color w:val="1F2937"/>
                <w:sz w:val="16"/>
              </w:rPr>
              <w:t>Different period labels</w:t>
            </w:r>
          </w:p>
        </w:tc>
        <w:tc>
          <w:tcPr>
            <w:tcW w:type="dxa" w:w="5472"/>
            <w:vAlign w:val="center"/>
            <w:tcMar>
              <w:top w:w="90" w:type="dxa"/>
              <w:start w:w="90" w:type="dxa"/>
              <w:bottom w:w="90" w:type="dxa"/>
              <w:end w:w="90" w:type="dxa"/>
            </w:tcMar>
          </w:tcPr>
          <w:p>
            <w:pPr>
              <w:jc w:val="left"/>
            </w:pPr>
            <w:r/>
            <w:r>
              <w:rPr>
                <w:b w:val="0"/>
                <w:color w:val="1F2937"/>
                <w:sz w:val="16"/>
              </w:rPr>
              <w:t>Map all observations to a fiscal-quarter sequence.</w:t>
            </w:r>
          </w:p>
        </w:tc>
        <w:tc>
          <w:tcPr>
            <w:tcW w:type="dxa" w:w="2664"/>
            <w:vAlign w:val="center"/>
            <w:tcMar>
              <w:top w:w="90" w:type="dxa"/>
              <w:start w:w="90" w:type="dxa"/>
              <w:bottom w:w="90" w:type="dxa"/>
              <w:end w:w="90" w:type="dxa"/>
            </w:tcMar>
          </w:tcPr>
          <w:p>
            <w:pPr>
              <w:jc w:val="left"/>
            </w:pPr>
            <w:r/>
            <w:r>
              <w:rPr>
                <w:b w:val="0"/>
                <w:color w:val="1F2937"/>
                <w:sz w:val="16"/>
              </w:rPr>
              <w:t>Prevents a calendar label from being mistaken for a fiscal label.</w:t>
            </w:r>
          </w:p>
        </w:tc>
      </w:tr>
      <w:tr>
        <w:tc>
          <w:tcPr>
            <w:tcW w:type="dxa" w:w="2016"/>
            <w:vAlign w:val="center"/>
            <w:tcMar>
              <w:top w:w="90" w:type="dxa"/>
              <w:start w:w="90" w:type="dxa"/>
              <w:bottom w:w="90" w:type="dxa"/>
              <w:end w:w="90" w:type="dxa"/>
            </w:tcMar>
            <w:shd w:fill="F7FAFC"/>
          </w:tcPr>
          <w:p>
            <w:pPr>
              <w:jc w:val="left"/>
            </w:pPr>
            <w:r/>
            <w:r>
              <w:rPr>
                <w:b w:val="0"/>
                <w:color w:val="1F2937"/>
                <w:sz w:val="16"/>
              </w:rPr>
              <w:t>Different reporting bases</w:t>
            </w:r>
          </w:p>
        </w:tc>
        <w:tc>
          <w:tcPr>
            <w:tcW w:type="dxa" w:w="5472"/>
            <w:vAlign w:val="center"/>
            <w:tcMar>
              <w:top w:w="90" w:type="dxa"/>
              <w:start w:w="90" w:type="dxa"/>
              <w:bottom w:w="90" w:type="dxa"/>
              <w:end w:w="90" w:type="dxa"/>
            </w:tcMar>
            <w:shd w:fill="F7FAFC"/>
          </w:tcPr>
          <w:p>
            <w:pPr>
              <w:jc w:val="left"/>
            </w:pPr>
            <w:r/>
            <w:r>
              <w:rPr>
                <w:b w:val="0"/>
                <w:color w:val="1F2937"/>
                <w:sz w:val="16"/>
              </w:rPr>
              <w:t>Document segment/consolidated basis explicitly; do not silently mix them.</w:t>
            </w:r>
          </w:p>
        </w:tc>
        <w:tc>
          <w:tcPr>
            <w:tcW w:type="dxa" w:w="2664"/>
            <w:vAlign w:val="center"/>
            <w:tcMar>
              <w:top w:w="90" w:type="dxa"/>
              <w:start w:w="90" w:type="dxa"/>
              <w:bottom w:w="90" w:type="dxa"/>
              <w:end w:w="90" w:type="dxa"/>
            </w:tcMar>
            <w:shd w:fill="F7FAFC"/>
          </w:tcPr>
          <w:p>
            <w:pPr>
              <w:jc w:val="left"/>
            </w:pPr>
            <w:r/>
            <w:r>
              <w:rPr>
                <w:b w:val="0"/>
                <w:color w:val="1F2937"/>
                <w:sz w:val="16"/>
              </w:rPr>
              <w:t>Protects peer comparability.</w:t>
            </w:r>
          </w:p>
        </w:tc>
      </w:tr>
      <w:tr>
        <w:tc>
          <w:tcPr>
            <w:tcW w:type="dxa" w:w="2016"/>
            <w:vAlign w:val="center"/>
            <w:tcMar>
              <w:top w:w="90" w:type="dxa"/>
              <w:start w:w="90" w:type="dxa"/>
              <w:bottom w:w="90" w:type="dxa"/>
              <w:end w:w="90" w:type="dxa"/>
            </w:tcMar>
          </w:tcPr>
          <w:p>
            <w:pPr>
              <w:jc w:val="left"/>
            </w:pPr>
            <w:r/>
            <w:r>
              <w:rPr>
                <w:b w:val="0"/>
                <w:color w:val="1F2937"/>
                <w:sz w:val="16"/>
              </w:rPr>
              <w:t>Currency effects</w:t>
            </w:r>
          </w:p>
        </w:tc>
        <w:tc>
          <w:tcPr>
            <w:tcW w:type="dxa" w:w="5472"/>
            <w:vAlign w:val="center"/>
            <w:tcMar>
              <w:top w:w="90" w:type="dxa"/>
              <w:start w:w="90" w:type="dxa"/>
              <w:bottom w:w="90" w:type="dxa"/>
              <w:end w:w="90" w:type="dxa"/>
            </w:tcMar>
          </w:tcPr>
          <w:p>
            <w:pPr>
              <w:jc w:val="left"/>
            </w:pPr>
            <w:r/>
            <w:r>
              <w:rPr>
                <w:b w:val="0"/>
                <w:color w:val="1F2937"/>
                <w:sz w:val="16"/>
              </w:rPr>
              <w:t>Keep constant-currency growth separate from reported INR growth when disclosed.</w:t>
            </w:r>
          </w:p>
        </w:tc>
        <w:tc>
          <w:tcPr>
            <w:tcW w:type="dxa" w:w="2664"/>
            <w:vAlign w:val="center"/>
            <w:tcMar>
              <w:top w:w="90" w:type="dxa"/>
              <w:start w:w="90" w:type="dxa"/>
              <w:bottom w:w="90" w:type="dxa"/>
              <w:end w:w="90" w:type="dxa"/>
            </w:tcMar>
          </w:tcPr>
          <w:p>
            <w:pPr>
              <w:jc w:val="left"/>
            </w:pPr>
            <w:r/>
            <w:r>
              <w:rPr>
                <w:b w:val="0"/>
                <w:color w:val="1F2937"/>
                <w:sz w:val="16"/>
              </w:rPr>
              <w:t>Prevents FX translation from being interpreted as demand growth.</w:t>
            </w:r>
          </w:p>
        </w:tc>
      </w:tr>
      <w:tr>
        <w:tc>
          <w:tcPr>
            <w:tcW w:type="dxa" w:w="2016"/>
            <w:vAlign w:val="center"/>
            <w:tcMar>
              <w:top w:w="90" w:type="dxa"/>
              <w:start w:w="90" w:type="dxa"/>
              <w:bottom w:w="90" w:type="dxa"/>
              <w:end w:w="90" w:type="dxa"/>
            </w:tcMar>
            <w:shd w:fill="F7FAFC"/>
          </w:tcPr>
          <w:p>
            <w:pPr>
              <w:jc w:val="left"/>
            </w:pPr>
            <w:r/>
            <w:r>
              <w:rPr>
                <w:b w:val="0"/>
                <w:color w:val="1F2937"/>
                <w:sz w:val="16"/>
              </w:rPr>
              <w:t>Derived metrics</w:t>
            </w:r>
          </w:p>
        </w:tc>
        <w:tc>
          <w:tcPr>
            <w:tcW w:type="dxa" w:w="5472"/>
            <w:vAlign w:val="center"/>
            <w:tcMar>
              <w:top w:w="90" w:type="dxa"/>
              <w:start w:w="90" w:type="dxa"/>
              <w:bottom w:w="90" w:type="dxa"/>
              <w:end w:w="90" w:type="dxa"/>
            </w:tcMar>
            <w:shd w:fill="F7FAFC"/>
          </w:tcPr>
          <w:p>
            <w:pPr>
              <w:jc w:val="left"/>
            </w:pPr>
            <w:r/>
            <w:r>
              <w:rPr>
                <w:b w:val="0"/>
                <w:color w:val="1F2937"/>
                <w:sz w:val="16"/>
              </w:rPr>
              <w:t>Calculate ratios in the cleaned layer rather than transcribing them from third-party pages.</w:t>
            </w:r>
          </w:p>
        </w:tc>
        <w:tc>
          <w:tcPr>
            <w:tcW w:type="dxa" w:w="2664"/>
            <w:vAlign w:val="center"/>
            <w:tcMar>
              <w:top w:w="90" w:type="dxa"/>
              <w:start w:w="90" w:type="dxa"/>
              <w:bottom w:w="90" w:type="dxa"/>
              <w:end w:w="90" w:type="dxa"/>
            </w:tcMar>
            <w:shd w:fill="F7FAFC"/>
          </w:tcPr>
          <w:p>
            <w:pPr>
              <w:jc w:val="left"/>
            </w:pPr>
            <w:r/>
            <w:r>
              <w:rPr>
                <w:b w:val="0"/>
                <w:color w:val="1F2937"/>
                <w:sz w:val="16"/>
              </w:rPr>
              <w:t>Makes the logic reproducible.</w:t>
            </w:r>
          </w:p>
        </w:tc>
      </w:tr>
      <w:tr>
        <w:tc>
          <w:tcPr>
            <w:tcW w:type="dxa" w:w="2016"/>
            <w:vAlign w:val="center"/>
            <w:tcMar>
              <w:top w:w="90" w:type="dxa"/>
              <w:start w:w="90" w:type="dxa"/>
              <w:bottom w:w="90" w:type="dxa"/>
              <w:end w:w="90" w:type="dxa"/>
            </w:tcMar>
          </w:tcPr>
          <w:p>
            <w:pPr>
              <w:jc w:val="left"/>
            </w:pPr>
            <w:r/>
            <w:r>
              <w:rPr>
                <w:b w:val="0"/>
                <w:color w:val="1F2937"/>
                <w:sz w:val="16"/>
              </w:rPr>
              <w:t>Missing values</w:t>
            </w:r>
          </w:p>
        </w:tc>
        <w:tc>
          <w:tcPr>
            <w:tcW w:type="dxa" w:w="5472"/>
            <w:vAlign w:val="center"/>
            <w:tcMar>
              <w:top w:w="90" w:type="dxa"/>
              <w:start w:w="90" w:type="dxa"/>
              <w:bottom w:w="90" w:type="dxa"/>
              <w:end w:w="90" w:type="dxa"/>
            </w:tcMar>
          </w:tcPr>
          <w:p>
            <w:pPr>
              <w:jc w:val="left"/>
            </w:pPr>
            <w:r/>
            <w:r>
              <w:rPr>
                <w:b w:val="0"/>
                <w:color w:val="1F2937"/>
                <w:sz w:val="16"/>
              </w:rPr>
              <w:t>Use blank/NA only when the metric is genuinely undisclosed; never substitute zero.</w:t>
            </w:r>
          </w:p>
        </w:tc>
        <w:tc>
          <w:tcPr>
            <w:tcW w:type="dxa" w:w="2664"/>
            <w:vAlign w:val="center"/>
            <w:tcMar>
              <w:top w:w="90" w:type="dxa"/>
              <w:start w:w="90" w:type="dxa"/>
              <w:bottom w:w="90" w:type="dxa"/>
              <w:end w:w="90" w:type="dxa"/>
            </w:tcMar>
          </w:tcPr>
          <w:p>
            <w:pPr>
              <w:jc w:val="left"/>
            </w:pPr>
            <w:r/>
            <w:r>
              <w:rPr>
                <w:b w:val="0"/>
                <w:color w:val="1F2937"/>
                <w:sz w:val="16"/>
              </w:rPr>
              <w:t>Zero means “no value,” while blank means “not observed/disclosed.”</w:t>
            </w:r>
          </w:p>
        </w:tc>
      </w:tr>
      <w:tr>
        <w:tc>
          <w:tcPr>
            <w:tcW w:type="dxa" w:w="2016"/>
            <w:vAlign w:val="center"/>
            <w:tcMar>
              <w:top w:w="90" w:type="dxa"/>
              <w:start w:w="90" w:type="dxa"/>
              <w:bottom w:w="90" w:type="dxa"/>
              <w:end w:w="90" w:type="dxa"/>
            </w:tcMar>
            <w:shd w:fill="F7FAFC"/>
          </w:tcPr>
          <w:p>
            <w:pPr>
              <w:jc w:val="left"/>
            </w:pPr>
            <w:r/>
            <w:r>
              <w:rPr>
                <w:b w:val="0"/>
                <w:color w:val="1F2937"/>
                <w:sz w:val="16"/>
              </w:rPr>
              <w:t>Conflicting values</w:t>
            </w:r>
          </w:p>
        </w:tc>
        <w:tc>
          <w:tcPr>
            <w:tcW w:type="dxa" w:w="5472"/>
            <w:vAlign w:val="center"/>
            <w:tcMar>
              <w:top w:w="90" w:type="dxa"/>
              <w:start w:w="90" w:type="dxa"/>
              <w:bottom w:w="90" w:type="dxa"/>
              <w:end w:w="90" w:type="dxa"/>
            </w:tcMar>
            <w:shd w:fill="F7FAFC"/>
          </w:tcPr>
          <w:p>
            <w:pPr>
              <w:jc w:val="left"/>
            </w:pPr>
            <w:r/>
            <w:r>
              <w:rPr>
                <w:b w:val="0"/>
                <w:color w:val="1F2937"/>
                <w:sz w:val="16"/>
              </w:rPr>
              <w:t>Issuer value governs the current KPI snapshot; discrepancy is logged rather than overwritten silently.</w:t>
            </w:r>
          </w:p>
        </w:tc>
        <w:tc>
          <w:tcPr>
            <w:tcW w:type="dxa" w:w="2664"/>
            <w:vAlign w:val="center"/>
            <w:tcMar>
              <w:top w:w="90" w:type="dxa"/>
              <w:start w:w="90" w:type="dxa"/>
              <w:bottom w:w="90" w:type="dxa"/>
              <w:end w:w="90" w:type="dxa"/>
            </w:tcMar>
            <w:shd w:fill="F7FAFC"/>
          </w:tcPr>
          <w:p>
            <w:pPr>
              <w:jc w:val="left"/>
            </w:pPr>
            <w:r/>
            <w:r>
              <w:rPr>
                <w:b w:val="0"/>
                <w:color w:val="1F2937"/>
                <w:sz w:val="16"/>
              </w:rPr>
              <w:t>Creates a visible reconciliation trail.</w:t>
            </w:r>
          </w:p>
        </w:tc>
      </w:tr>
    </w:tbl>
    <w:p>
      <w:pPr>
        <w:pStyle w:val="Heading1"/>
      </w:pPr>
      <w:r>
        <w:t>4. Q1 FY27 Current KPI Validation</w:t>
      </w:r>
    </w:p>
    <w:p>
      <w:r>
        <w:t>Current-quarter metrics were checked against issuer releases because the latest quarter is especially vulnerable to stale summaries and inconsistent indexing. These strategic indicators complement the common financial panel; they are not all directly comparable across the four firms.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vAlign w:val="center"/>
            <w:tcMar>
              <w:top w:w="90" w:type="dxa"/>
              <w:start w:w="90" w:type="dxa"/>
              <w:bottom w:w="90" w:type="dxa"/>
              <w:end w:w="90" w:type="dxa"/>
            </w:tcMar>
            <w:shd w:fill="17365D"/>
          </w:tcPr>
          <w:p>
            <w:pPr>
              <w:jc w:val="center"/>
            </w:pPr>
            <w:r/>
            <w:r>
              <w:rPr>
                <w:b/>
                <w:color w:val="FFFFFF"/>
                <w:sz w:val="16"/>
              </w:rPr>
              <w:t>Company</w:t>
            </w:r>
          </w:p>
        </w:tc>
        <w:tc>
          <w:tcPr>
            <w:tcW w:type="dxa" w:w="3168"/>
            <w:vAlign w:val="center"/>
            <w:tcMar>
              <w:top w:w="90" w:type="dxa"/>
              <w:start w:w="90" w:type="dxa"/>
              <w:bottom w:w="90" w:type="dxa"/>
              <w:end w:w="90" w:type="dxa"/>
            </w:tcMar>
            <w:shd w:fill="17365D"/>
          </w:tcPr>
          <w:p>
            <w:pPr>
              <w:jc w:val="center"/>
            </w:pPr>
            <w:r/>
            <w:r>
              <w:rPr>
                <w:b/>
                <w:color w:val="FFFFFF"/>
                <w:sz w:val="16"/>
              </w:rPr>
              <w:t>Metric</w:t>
            </w:r>
          </w:p>
        </w:tc>
        <w:tc>
          <w:tcPr>
            <w:tcW w:type="dxa" w:w="2736"/>
            <w:vAlign w:val="center"/>
            <w:tcMar>
              <w:top w:w="90" w:type="dxa"/>
              <w:start w:w="90" w:type="dxa"/>
              <w:bottom w:w="90" w:type="dxa"/>
              <w:end w:w="90" w:type="dxa"/>
            </w:tcMar>
            <w:shd w:fill="17365D"/>
          </w:tcPr>
          <w:p>
            <w:pPr>
              <w:jc w:val="center"/>
            </w:pPr>
            <w:r/>
            <w:r>
              <w:rPr>
                <w:b/>
                <w:color w:val="FFFFFF"/>
                <w:sz w:val="16"/>
              </w:rPr>
              <w:t>Q1 FY27 value</w:t>
            </w:r>
          </w:p>
        </w:tc>
        <w:tc>
          <w:tcPr>
            <w:tcW w:type="dxa" w:w="2880"/>
            <w:vAlign w:val="center"/>
            <w:tcMar>
              <w:top w:w="90" w:type="dxa"/>
              <w:start w:w="90" w:type="dxa"/>
              <w:bottom w:w="90" w:type="dxa"/>
              <w:end w:w="90" w:type="dxa"/>
            </w:tcMar>
            <w:shd w:fill="17365D"/>
          </w:tcPr>
          <w:p>
            <w:pPr>
              <w:jc w:val="center"/>
            </w:pPr>
            <w:r/>
            <w:r>
              <w:rPr>
                <w:b/>
                <w:color w:val="FFFFFF"/>
                <w:sz w:val="16"/>
              </w:rPr>
              <w:t>Source treatment</w:t>
            </w:r>
          </w:p>
        </w:tc>
      </w:tr>
      <w:tr>
        <w:tc>
          <w:tcPr>
            <w:tcW w:type="dxa" w:w="1440"/>
            <w:vAlign w:val="center"/>
            <w:tcMar>
              <w:top w:w="90" w:type="dxa"/>
              <w:start w:w="90" w:type="dxa"/>
              <w:bottom w:w="90" w:type="dxa"/>
              <w:end w:w="90" w:type="dxa"/>
            </w:tcMar>
            <w:shd w:fill="F7FAFC"/>
          </w:tcPr>
          <w:p>
            <w:pPr>
              <w:jc w:val="left"/>
            </w:pPr>
            <w:r/>
            <w:r>
              <w:rPr>
                <w:b w:val="0"/>
                <w:color w:val="1F2937"/>
                <w:sz w:val="16"/>
              </w:rPr>
              <w:t>TCS</w:t>
            </w:r>
          </w:p>
        </w:tc>
        <w:tc>
          <w:tcPr>
            <w:tcW w:type="dxa" w:w="3168"/>
            <w:vAlign w:val="center"/>
            <w:tcMar>
              <w:top w:w="90" w:type="dxa"/>
              <w:start w:w="90" w:type="dxa"/>
              <w:bottom w:w="90" w:type="dxa"/>
              <w:end w:w="90" w:type="dxa"/>
            </w:tcMar>
            <w:shd w:fill="F7FAFC"/>
          </w:tcPr>
          <w:p>
            <w:pPr>
              <w:jc w:val="left"/>
            </w:pPr>
            <w:r/>
            <w:r>
              <w:rPr>
                <w:b w:val="0"/>
                <w:color w:val="1F2937"/>
                <w:sz w:val="16"/>
              </w:rPr>
              <w:t>Revenue / Operating margin</w:t>
            </w:r>
          </w:p>
        </w:tc>
        <w:tc>
          <w:tcPr>
            <w:tcW w:type="dxa" w:w="2736"/>
            <w:vAlign w:val="center"/>
            <w:tcMar>
              <w:top w:w="90" w:type="dxa"/>
              <w:start w:w="90" w:type="dxa"/>
              <w:bottom w:w="90" w:type="dxa"/>
              <w:end w:w="90" w:type="dxa"/>
            </w:tcMar>
            <w:shd w:fill="F7FAFC"/>
          </w:tcPr>
          <w:p>
            <w:pPr>
              <w:jc w:val="left"/>
            </w:pPr>
            <w:r/>
            <w:r>
              <w:rPr>
                <w:b w:val="0"/>
                <w:color w:val="1F2937"/>
                <w:sz w:val="16"/>
              </w:rPr>
              <w:t>₹72,275 Cr / 24.0%</w:t>
            </w:r>
          </w:p>
        </w:tc>
        <w:tc>
          <w:tcPr>
            <w:tcW w:type="dxa" w:w="2880"/>
            <w:vAlign w:val="center"/>
            <w:tcMar>
              <w:top w:w="90" w:type="dxa"/>
              <w:start w:w="90" w:type="dxa"/>
              <w:bottom w:w="90" w:type="dxa"/>
              <w:end w:w="90" w:type="dxa"/>
            </w:tcMar>
            <w:shd w:fill="F7FAFC"/>
          </w:tcPr>
          <w:p>
            <w:pPr>
              <w:jc w:val="left"/>
            </w:pPr>
            <w:r/>
            <w:r>
              <w:rPr>
                <w:b w:val="0"/>
                <w:color w:val="1F2937"/>
                <w:sz w:val="16"/>
              </w:rPr>
              <w:t>Issuer release; USD revenue $7,624m</w:t>
            </w:r>
          </w:p>
        </w:tc>
      </w:tr>
      <w:tr>
        <w:tc>
          <w:tcPr>
            <w:tcW w:type="dxa" w:w="1440"/>
            <w:vAlign w:val="center"/>
            <w:tcMar>
              <w:top w:w="90" w:type="dxa"/>
              <w:start w:w="90" w:type="dxa"/>
              <w:bottom w:w="90" w:type="dxa"/>
              <w:end w:w="90" w:type="dxa"/>
            </w:tcMar>
          </w:tcPr>
          <w:p>
            <w:pPr>
              <w:jc w:val="left"/>
            </w:pPr>
            <w:r/>
            <w:r>
              <w:rPr>
                <w:b w:val="0"/>
                <w:color w:val="1F2937"/>
                <w:sz w:val="16"/>
              </w:rPr>
              <w:t>TCS</w:t>
            </w:r>
          </w:p>
        </w:tc>
        <w:tc>
          <w:tcPr>
            <w:tcW w:type="dxa" w:w="3168"/>
            <w:vAlign w:val="center"/>
            <w:tcMar>
              <w:top w:w="90" w:type="dxa"/>
              <w:start w:w="90" w:type="dxa"/>
              <w:bottom w:w="90" w:type="dxa"/>
              <w:end w:w="90" w:type="dxa"/>
            </w:tcMar>
          </w:tcPr>
          <w:p>
            <w:pPr>
              <w:jc w:val="left"/>
            </w:pPr>
            <w:r/>
            <w:r>
              <w:rPr>
                <w:b w:val="0"/>
                <w:color w:val="1F2937"/>
                <w:sz w:val="16"/>
              </w:rPr>
              <w:t>TCV / annualised AI revenue</w:t>
            </w:r>
          </w:p>
        </w:tc>
        <w:tc>
          <w:tcPr>
            <w:tcW w:type="dxa" w:w="2736"/>
            <w:vAlign w:val="center"/>
            <w:tcMar>
              <w:top w:w="90" w:type="dxa"/>
              <w:start w:w="90" w:type="dxa"/>
              <w:bottom w:w="90" w:type="dxa"/>
              <w:end w:w="90" w:type="dxa"/>
            </w:tcMar>
          </w:tcPr>
          <w:p>
            <w:pPr>
              <w:jc w:val="left"/>
            </w:pPr>
            <w:r/>
            <w:r>
              <w:rPr>
                <w:b w:val="0"/>
                <w:color w:val="1F2937"/>
                <w:sz w:val="16"/>
              </w:rPr>
              <w:t>$9.5bn / $2.6bn</w:t>
            </w:r>
          </w:p>
        </w:tc>
        <w:tc>
          <w:tcPr>
            <w:tcW w:type="dxa" w:w="2880"/>
            <w:vAlign w:val="center"/>
            <w:tcMar>
              <w:top w:w="90" w:type="dxa"/>
              <w:start w:w="90" w:type="dxa"/>
              <w:bottom w:w="90" w:type="dxa"/>
              <w:end w:w="90" w:type="dxa"/>
            </w:tcMar>
          </w:tcPr>
          <w:p>
            <w:pPr>
              <w:jc w:val="left"/>
            </w:pPr>
            <w:r/>
            <w:r>
              <w:rPr>
                <w:b w:val="0"/>
                <w:color w:val="1F2937"/>
                <w:sz w:val="16"/>
              </w:rPr>
              <w:t>Issuer release</w:t>
            </w:r>
          </w:p>
        </w:tc>
      </w:tr>
      <w:tr>
        <w:tc>
          <w:tcPr>
            <w:tcW w:type="dxa" w:w="1440"/>
            <w:vAlign w:val="center"/>
            <w:tcMar>
              <w:top w:w="90" w:type="dxa"/>
              <w:start w:w="90" w:type="dxa"/>
              <w:bottom w:w="90" w:type="dxa"/>
              <w:end w:w="90" w:type="dxa"/>
            </w:tcMar>
            <w:shd w:fill="F7FAFC"/>
          </w:tcPr>
          <w:p>
            <w:pPr>
              <w:jc w:val="left"/>
            </w:pPr>
            <w:r/>
            <w:r>
              <w:rPr>
                <w:b w:val="0"/>
                <w:color w:val="1F2937"/>
                <w:sz w:val="16"/>
              </w:rPr>
              <w:t>TCS</w:t>
            </w:r>
          </w:p>
        </w:tc>
        <w:tc>
          <w:tcPr>
            <w:tcW w:type="dxa" w:w="3168"/>
            <w:vAlign w:val="center"/>
            <w:tcMar>
              <w:top w:w="90" w:type="dxa"/>
              <w:start w:w="90" w:type="dxa"/>
              <w:bottom w:w="90" w:type="dxa"/>
              <w:end w:w="90" w:type="dxa"/>
            </w:tcMar>
            <w:shd w:fill="F7FAFC"/>
          </w:tcPr>
          <w:p>
            <w:pPr>
              <w:jc w:val="left"/>
            </w:pPr>
            <w:r/>
            <w:r>
              <w:rPr>
                <w:b w:val="0"/>
                <w:color w:val="1F2937"/>
                <w:sz w:val="16"/>
              </w:rPr>
              <w:t>Headcount / LTM attrition</w:t>
            </w:r>
          </w:p>
        </w:tc>
        <w:tc>
          <w:tcPr>
            <w:tcW w:type="dxa" w:w="2736"/>
            <w:vAlign w:val="center"/>
            <w:tcMar>
              <w:top w:w="90" w:type="dxa"/>
              <w:start w:w="90" w:type="dxa"/>
              <w:bottom w:w="90" w:type="dxa"/>
              <w:end w:w="90" w:type="dxa"/>
            </w:tcMar>
            <w:shd w:fill="F7FAFC"/>
          </w:tcPr>
          <w:p>
            <w:pPr>
              <w:jc w:val="left"/>
            </w:pPr>
            <w:r/>
            <w:r>
              <w:rPr>
                <w:b w:val="0"/>
                <w:color w:val="1F2937"/>
                <w:sz w:val="16"/>
              </w:rPr>
              <w:t>593,798 / 13.6%</w:t>
            </w:r>
          </w:p>
        </w:tc>
        <w:tc>
          <w:tcPr>
            <w:tcW w:type="dxa" w:w="2880"/>
            <w:vAlign w:val="center"/>
            <w:tcMar>
              <w:top w:w="90" w:type="dxa"/>
              <w:start w:w="90" w:type="dxa"/>
              <w:bottom w:w="90" w:type="dxa"/>
              <w:end w:w="90" w:type="dxa"/>
            </w:tcMar>
            <w:shd w:fill="F7FAFC"/>
          </w:tcPr>
          <w:p>
            <w:pPr>
              <w:jc w:val="left"/>
            </w:pPr>
            <w:r/>
            <w:r>
              <w:rPr>
                <w:b w:val="0"/>
                <w:color w:val="1F2937"/>
                <w:sz w:val="16"/>
              </w:rPr>
              <w:t>Issuer release</w:t>
            </w:r>
          </w:p>
        </w:tc>
      </w:tr>
      <w:tr>
        <w:tc>
          <w:tcPr>
            <w:tcW w:type="dxa" w:w="1440"/>
            <w:vAlign w:val="center"/>
            <w:tcMar>
              <w:top w:w="90" w:type="dxa"/>
              <w:start w:w="90" w:type="dxa"/>
              <w:bottom w:w="90" w:type="dxa"/>
              <w:end w:w="90" w:type="dxa"/>
            </w:tcMar>
          </w:tcPr>
          <w:p>
            <w:pPr>
              <w:jc w:val="left"/>
            </w:pPr>
            <w:r/>
            <w:r>
              <w:rPr>
                <w:b w:val="0"/>
                <w:color w:val="1F2937"/>
                <w:sz w:val="16"/>
              </w:rPr>
              <w:t>Infosys</w:t>
            </w:r>
          </w:p>
        </w:tc>
        <w:tc>
          <w:tcPr>
            <w:tcW w:type="dxa" w:w="3168"/>
            <w:vAlign w:val="center"/>
            <w:tcMar>
              <w:top w:w="90" w:type="dxa"/>
              <w:start w:w="90" w:type="dxa"/>
              <w:bottom w:w="90" w:type="dxa"/>
              <w:end w:w="90" w:type="dxa"/>
            </w:tcMar>
          </w:tcPr>
          <w:p>
            <w:pPr>
              <w:jc w:val="left"/>
            </w:pPr>
            <w:r/>
            <w:r>
              <w:rPr>
                <w:b w:val="0"/>
                <w:color w:val="1F2937"/>
                <w:sz w:val="16"/>
              </w:rPr>
              <w:t>Revenue / Operating margin</w:t>
            </w:r>
          </w:p>
        </w:tc>
        <w:tc>
          <w:tcPr>
            <w:tcW w:type="dxa" w:w="2736"/>
            <w:vAlign w:val="center"/>
            <w:tcMar>
              <w:top w:w="90" w:type="dxa"/>
              <w:start w:w="90" w:type="dxa"/>
              <w:bottom w:w="90" w:type="dxa"/>
              <w:end w:w="90" w:type="dxa"/>
            </w:tcMar>
          </w:tcPr>
          <w:p>
            <w:pPr>
              <w:jc w:val="left"/>
            </w:pPr>
            <w:r/>
            <w:r>
              <w:rPr>
                <w:b w:val="0"/>
                <w:color w:val="1F2937"/>
                <w:sz w:val="16"/>
              </w:rPr>
              <w:t>₹48,211 Cr / 21.1%</w:t>
            </w:r>
          </w:p>
        </w:tc>
        <w:tc>
          <w:tcPr>
            <w:tcW w:type="dxa" w:w="2880"/>
            <w:vAlign w:val="center"/>
            <w:tcMar>
              <w:top w:w="90" w:type="dxa"/>
              <w:start w:w="90" w:type="dxa"/>
              <w:bottom w:w="90" w:type="dxa"/>
              <w:end w:w="90" w:type="dxa"/>
            </w:tcMar>
          </w:tcPr>
          <w:p>
            <w:pPr>
              <w:jc w:val="left"/>
            </w:pPr>
            <w:r/>
            <w:r>
              <w:rPr>
                <w:b w:val="0"/>
                <w:color w:val="1F2937"/>
                <w:sz w:val="16"/>
              </w:rPr>
              <w:t>Issuer financial snapshot</w:t>
            </w:r>
          </w:p>
        </w:tc>
      </w:tr>
      <w:tr>
        <w:tc>
          <w:tcPr>
            <w:tcW w:type="dxa" w:w="1440"/>
            <w:vAlign w:val="center"/>
            <w:tcMar>
              <w:top w:w="90" w:type="dxa"/>
              <w:start w:w="90" w:type="dxa"/>
              <w:bottom w:w="90" w:type="dxa"/>
              <w:end w:w="90" w:type="dxa"/>
            </w:tcMar>
            <w:shd w:fill="F7FAFC"/>
          </w:tcPr>
          <w:p>
            <w:pPr>
              <w:jc w:val="left"/>
            </w:pPr>
            <w:r/>
            <w:r>
              <w:rPr>
                <w:b w:val="0"/>
                <w:color w:val="1F2937"/>
                <w:sz w:val="16"/>
              </w:rPr>
              <w:t>Infosys</w:t>
            </w:r>
          </w:p>
        </w:tc>
        <w:tc>
          <w:tcPr>
            <w:tcW w:type="dxa" w:w="3168"/>
            <w:vAlign w:val="center"/>
            <w:tcMar>
              <w:top w:w="90" w:type="dxa"/>
              <w:start w:w="90" w:type="dxa"/>
              <w:bottom w:w="90" w:type="dxa"/>
              <w:end w:w="90" w:type="dxa"/>
            </w:tcMar>
            <w:shd w:fill="F7FAFC"/>
          </w:tcPr>
          <w:p>
            <w:pPr>
              <w:jc w:val="left"/>
            </w:pPr>
            <w:r/>
            <w:r>
              <w:rPr>
                <w:b w:val="0"/>
                <w:color w:val="1F2937"/>
                <w:sz w:val="16"/>
              </w:rPr>
              <w:t>Net profit / headcount</w:t>
            </w:r>
          </w:p>
        </w:tc>
        <w:tc>
          <w:tcPr>
            <w:tcW w:type="dxa" w:w="2736"/>
            <w:vAlign w:val="center"/>
            <w:tcMar>
              <w:top w:w="90" w:type="dxa"/>
              <w:start w:w="90" w:type="dxa"/>
              <w:bottom w:w="90" w:type="dxa"/>
              <w:end w:w="90" w:type="dxa"/>
            </w:tcMar>
            <w:shd w:fill="F7FAFC"/>
          </w:tcPr>
          <w:p>
            <w:pPr>
              <w:jc w:val="left"/>
            </w:pPr>
            <w:r/>
            <w:r>
              <w:rPr>
                <w:b w:val="0"/>
                <w:color w:val="1F2937"/>
                <w:sz w:val="16"/>
              </w:rPr>
              <w:t>₹7,769 Cr / 328,062</w:t>
            </w:r>
          </w:p>
        </w:tc>
        <w:tc>
          <w:tcPr>
            <w:tcW w:type="dxa" w:w="2880"/>
            <w:vAlign w:val="center"/>
            <w:tcMar>
              <w:top w:w="90" w:type="dxa"/>
              <w:start w:w="90" w:type="dxa"/>
              <w:bottom w:w="90" w:type="dxa"/>
              <w:end w:w="90" w:type="dxa"/>
            </w:tcMar>
            <w:shd w:fill="F7FAFC"/>
          </w:tcPr>
          <w:p>
            <w:pPr>
              <w:jc w:val="left"/>
            </w:pPr>
            <w:r/>
            <w:r>
              <w:rPr>
                <w:b w:val="0"/>
                <w:color w:val="1F2937"/>
                <w:sz w:val="16"/>
              </w:rPr>
              <w:t>Issuer sources</w:t>
            </w:r>
          </w:p>
        </w:tc>
      </w:tr>
      <w:tr>
        <w:tc>
          <w:tcPr>
            <w:tcW w:type="dxa" w:w="1440"/>
            <w:vAlign w:val="center"/>
            <w:tcMar>
              <w:top w:w="90" w:type="dxa"/>
              <w:start w:w="90" w:type="dxa"/>
              <w:bottom w:w="90" w:type="dxa"/>
              <w:end w:w="90" w:type="dxa"/>
            </w:tcMar>
          </w:tcPr>
          <w:p>
            <w:pPr>
              <w:jc w:val="left"/>
            </w:pPr>
            <w:r/>
            <w:r>
              <w:rPr>
                <w:b w:val="0"/>
                <w:color w:val="1F2937"/>
                <w:sz w:val="16"/>
              </w:rPr>
              <w:t>HCLTech</w:t>
            </w:r>
          </w:p>
        </w:tc>
        <w:tc>
          <w:tcPr>
            <w:tcW w:type="dxa" w:w="3168"/>
            <w:vAlign w:val="center"/>
            <w:tcMar>
              <w:top w:w="90" w:type="dxa"/>
              <w:start w:w="90" w:type="dxa"/>
              <w:bottom w:w="90" w:type="dxa"/>
              <w:end w:w="90" w:type="dxa"/>
            </w:tcMar>
          </w:tcPr>
          <w:p>
            <w:pPr>
              <w:jc w:val="left"/>
            </w:pPr>
            <w:r/>
            <w:r>
              <w:rPr>
                <w:b w:val="0"/>
                <w:color w:val="1F2937"/>
                <w:sz w:val="16"/>
              </w:rPr>
              <w:t>Revenue / EBIT margin</w:t>
            </w:r>
          </w:p>
        </w:tc>
        <w:tc>
          <w:tcPr>
            <w:tcW w:type="dxa" w:w="2736"/>
            <w:vAlign w:val="center"/>
            <w:tcMar>
              <w:top w:w="90" w:type="dxa"/>
              <w:start w:w="90" w:type="dxa"/>
              <w:bottom w:w="90" w:type="dxa"/>
              <w:end w:w="90" w:type="dxa"/>
            </w:tcMar>
          </w:tcPr>
          <w:p>
            <w:pPr>
              <w:jc w:val="left"/>
            </w:pPr>
            <w:r/>
            <w:r>
              <w:rPr>
                <w:b w:val="0"/>
                <w:color w:val="1F2937"/>
                <w:sz w:val="16"/>
              </w:rPr>
              <w:t>₹34,579 Cr / 16.9%</w:t>
            </w:r>
          </w:p>
        </w:tc>
        <w:tc>
          <w:tcPr>
            <w:tcW w:type="dxa" w:w="2880"/>
            <w:vAlign w:val="center"/>
            <w:tcMar>
              <w:top w:w="90" w:type="dxa"/>
              <w:start w:w="90" w:type="dxa"/>
              <w:bottom w:w="90" w:type="dxa"/>
              <w:end w:w="90" w:type="dxa"/>
            </w:tcMar>
          </w:tcPr>
          <w:p>
            <w:pPr>
              <w:jc w:val="left"/>
            </w:pPr>
            <w:r/>
            <w:r>
              <w:rPr>
                <w:b w:val="0"/>
                <w:color w:val="1F2937"/>
                <w:sz w:val="16"/>
              </w:rPr>
              <w:t>Issuer investor release</w:t>
            </w:r>
          </w:p>
        </w:tc>
      </w:tr>
      <w:tr>
        <w:tc>
          <w:tcPr>
            <w:tcW w:type="dxa" w:w="1440"/>
            <w:vAlign w:val="center"/>
            <w:tcMar>
              <w:top w:w="90" w:type="dxa"/>
              <w:start w:w="90" w:type="dxa"/>
              <w:bottom w:w="90" w:type="dxa"/>
              <w:end w:w="90" w:type="dxa"/>
            </w:tcMar>
            <w:shd w:fill="F7FAFC"/>
          </w:tcPr>
          <w:p>
            <w:pPr>
              <w:jc w:val="left"/>
            </w:pPr>
            <w:r/>
            <w:r>
              <w:rPr>
                <w:b w:val="0"/>
                <w:color w:val="1F2937"/>
                <w:sz w:val="16"/>
              </w:rPr>
              <w:t>HCLTech</w:t>
            </w:r>
          </w:p>
        </w:tc>
        <w:tc>
          <w:tcPr>
            <w:tcW w:type="dxa" w:w="3168"/>
            <w:vAlign w:val="center"/>
            <w:tcMar>
              <w:top w:w="90" w:type="dxa"/>
              <w:start w:w="90" w:type="dxa"/>
              <w:bottom w:w="90" w:type="dxa"/>
              <w:end w:w="90" w:type="dxa"/>
            </w:tcMar>
            <w:shd w:fill="F7FAFC"/>
          </w:tcPr>
          <w:p>
            <w:pPr>
              <w:jc w:val="left"/>
            </w:pPr>
            <w:r/>
            <w:r>
              <w:rPr>
                <w:b w:val="0"/>
                <w:color w:val="1F2937"/>
                <w:sz w:val="16"/>
              </w:rPr>
              <w:t>TCV / Advanced AI revenue</w:t>
            </w:r>
          </w:p>
        </w:tc>
        <w:tc>
          <w:tcPr>
            <w:tcW w:type="dxa" w:w="2736"/>
            <w:vAlign w:val="center"/>
            <w:tcMar>
              <w:top w:w="90" w:type="dxa"/>
              <w:start w:w="90" w:type="dxa"/>
              <w:bottom w:w="90" w:type="dxa"/>
              <w:end w:w="90" w:type="dxa"/>
            </w:tcMar>
            <w:shd w:fill="F7FAFC"/>
          </w:tcPr>
          <w:p>
            <w:pPr>
              <w:jc w:val="left"/>
            </w:pPr>
            <w:r/>
            <w:r>
              <w:rPr>
                <w:b w:val="0"/>
                <w:color w:val="1F2937"/>
                <w:sz w:val="16"/>
              </w:rPr>
              <w:t>$2,407m / $171m</w:t>
            </w:r>
          </w:p>
        </w:tc>
        <w:tc>
          <w:tcPr>
            <w:tcW w:type="dxa" w:w="2880"/>
            <w:vAlign w:val="center"/>
            <w:tcMar>
              <w:top w:w="90" w:type="dxa"/>
              <w:start w:w="90" w:type="dxa"/>
              <w:bottom w:w="90" w:type="dxa"/>
              <w:end w:w="90" w:type="dxa"/>
            </w:tcMar>
            <w:shd w:fill="F7FAFC"/>
          </w:tcPr>
          <w:p>
            <w:pPr>
              <w:jc w:val="left"/>
            </w:pPr>
            <w:r/>
            <w:r>
              <w:rPr>
                <w:b w:val="0"/>
                <w:color w:val="1F2937"/>
                <w:sz w:val="16"/>
              </w:rPr>
              <w:t>Issuer investor release</w:t>
            </w:r>
          </w:p>
        </w:tc>
      </w:tr>
      <w:tr>
        <w:tc>
          <w:tcPr>
            <w:tcW w:type="dxa" w:w="1440"/>
            <w:vAlign w:val="center"/>
            <w:tcMar>
              <w:top w:w="90" w:type="dxa"/>
              <w:start w:w="90" w:type="dxa"/>
              <w:bottom w:w="90" w:type="dxa"/>
              <w:end w:w="90" w:type="dxa"/>
            </w:tcMar>
          </w:tcPr>
          <w:p>
            <w:pPr>
              <w:jc w:val="left"/>
            </w:pPr>
            <w:r/>
            <w:r>
              <w:rPr>
                <w:b w:val="0"/>
                <w:color w:val="1F2937"/>
                <w:sz w:val="16"/>
              </w:rPr>
              <w:t>HCLTech</w:t>
            </w:r>
          </w:p>
        </w:tc>
        <w:tc>
          <w:tcPr>
            <w:tcW w:type="dxa" w:w="3168"/>
            <w:vAlign w:val="center"/>
            <w:tcMar>
              <w:top w:w="90" w:type="dxa"/>
              <w:start w:w="90" w:type="dxa"/>
              <w:bottom w:w="90" w:type="dxa"/>
              <w:end w:w="90" w:type="dxa"/>
            </w:tcMar>
          </w:tcPr>
          <w:p>
            <w:pPr>
              <w:jc w:val="left"/>
            </w:pPr>
            <w:r/>
            <w:r>
              <w:rPr>
                <w:b w:val="0"/>
                <w:color w:val="1F2937"/>
                <w:sz w:val="16"/>
              </w:rPr>
              <w:t>Net income</w:t>
            </w:r>
          </w:p>
        </w:tc>
        <w:tc>
          <w:tcPr>
            <w:tcW w:type="dxa" w:w="2736"/>
            <w:vAlign w:val="center"/>
            <w:tcMar>
              <w:top w:w="90" w:type="dxa"/>
              <w:start w:w="90" w:type="dxa"/>
              <w:bottom w:w="90" w:type="dxa"/>
              <w:end w:w="90" w:type="dxa"/>
            </w:tcMar>
          </w:tcPr>
          <w:p>
            <w:pPr>
              <w:jc w:val="left"/>
            </w:pPr>
            <w:r/>
            <w:r>
              <w:rPr>
                <w:b w:val="0"/>
                <w:color w:val="1F2937"/>
                <w:sz w:val="16"/>
              </w:rPr>
              <w:t>₹4,624 Cr</w:t>
            </w:r>
          </w:p>
        </w:tc>
        <w:tc>
          <w:tcPr>
            <w:tcW w:type="dxa" w:w="2880"/>
            <w:vAlign w:val="center"/>
            <w:tcMar>
              <w:top w:w="90" w:type="dxa"/>
              <w:start w:w="90" w:type="dxa"/>
              <w:bottom w:w="90" w:type="dxa"/>
              <w:end w:w="90" w:type="dxa"/>
            </w:tcMar>
          </w:tcPr>
          <w:p>
            <w:pPr>
              <w:jc w:val="left"/>
            </w:pPr>
            <w:r/>
            <w:r>
              <w:rPr>
                <w:b w:val="0"/>
                <w:color w:val="1F2937"/>
                <w:sz w:val="16"/>
              </w:rPr>
              <w:t>Issuer investor release</w:t>
            </w:r>
          </w:p>
        </w:tc>
      </w:tr>
      <w:tr>
        <w:tc>
          <w:tcPr>
            <w:tcW w:type="dxa" w:w="1440"/>
            <w:vAlign w:val="center"/>
            <w:tcMar>
              <w:top w:w="90" w:type="dxa"/>
              <w:start w:w="90" w:type="dxa"/>
              <w:bottom w:w="90" w:type="dxa"/>
              <w:end w:w="90" w:type="dxa"/>
            </w:tcMar>
            <w:shd w:fill="F7FAFC"/>
          </w:tcPr>
          <w:p>
            <w:pPr>
              <w:jc w:val="left"/>
            </w:pPr>
            <w:r/>
            <w:r>
              <w:rPr>
                <w:b w:val="0"/>
                <w:color w:val="1F2937"/>
                <w:sz w:val="16"/>
              </w:rPr>
              <w:t>Wipro</w:t>
            </w:r>
          </w:p>
        </w:tc>
        <w:tc>
          <w:tcPr>
            <w:tcW w:type="dxa" w:w="3168"/>
            <w:vAlign w:val="center"/>
            <w:tcMar>
              <w:top w:w="90" w:type="dxa"/>
              <w:start w:w="90" w:type="dxa"/>
              <w:bottom w:w="90" w:type="dxa"/>
              <w:end w:w="90" w:type="dxa"/>
            </w:tcMar>
            <w:shd w:fill="F7FAFC"/>
          </w:tcPr>
          <w:p>
            <w:pPr>
              <w:jc w:val="left"/>
            </w:pPr>
            <w:r/>
            <w:r>
              <w:rPr>
                <w:b w:val="0"/>
                <w:color w:val="1F2937"/>
                <w:sz w:val="16"/>
              </w:rPr>
              <w:t>IT-services revenue / margin</w:t>
            </w:r>
          </w:p>
        </w:tc>
        <w:tc>
          <w:tcPr>
            <w:tcW w:type="dxa" w:w="2736"/>
            <w:vAlign w:val="center"/>
            <w:tcMar>
              <w:top w:w="90" w:type="dxa"/>
              <w:start w:w="90" w:type="dxa"/>
              <w:bottom w:w="90" w:type="dxa"/>
              <w:end w:w="90" w:type="dxa"/>
            </w:tcMar>
            <w:shd w:fill="F7FAFC"/>
          </w:tcPr>
          <w:p>
            <w:pPr>
              <w:jc w:val="left"/>
            </w:pPr>
            <w:r/>
            <w:r>
              <w:rPr>
                <w:b w:val="0"/>
                <w:color w:val="1F2937"/>
                <w:sz w:val="16"/>
              </w:rPr>
              <w:t>$2,614.5m / 16.0%</w:t>
            </w:r>
          </w:p>
        </w:tc>
        <w:tc>
          <w:tcPr>
            <w:tcW w:type="dxa" w:w="2880"/>
            <w:vAlign w:val="center"/>
            <w:tcMar>
              <w:top w:w="90" w:type="dxa"/>
              <w:start w:w="90" w:type="dxa"/>
              <w:bottom w:w="90" w:type="dxa"/>
              <w:end w:w="90" w:type="dxa"/>
            </w:tcMar>
            <w:shd w:fill="F7FAFC"/>
          </w:tcPr>
          <w:p>
            <w:pPr>
              <w:jc w:val="left"/>
            </w:pPr>
            <w:r/>
            <w:r>
              <w:rPr>
                <w:b w:val="0"/>
                <w:color w:val="1F2937"/>
                <w:sz w:val="16"/>
              </w:rPr>
              <w:t>Issuer Q1 FY27 release</w:t>
            </w:r>
          </w:p>
        </w:tc>
      </w:tr>
      <w:tr>
        <w:tc>
          <w:tcPr>
            <w:tcW w:type="dxa" w:w="1440"/>
            <w:vAlign w:val="center"/>
            <w:tcMar>
              <w:top w:w="90" w:type="dxa"/>
              <w:start w:w="90" w:type="dxa"/>
              <w:bottom w:w="90" w:type="dxa"/>
              <w:end w:w="90" w:type="dxa"/>
            </w:tcMar>
          </w:tcPr>
          <w:p>
            <w:pPr>
              <w:jc w:val="left"/>
            </w:pPr>
            <w:r/>
            <w:r>
              <w:rPr>
                <w:b w:val="0"/>
                <w:color w:val="1F2937"/>
                <w:sz w:val="16"/>
              </w:rPr>
              <w:t>Wipro</w:t>
            </w:r>
          </w:p>
        </w:tc>
        <w:tc>
          <w:tcPr>
            <w:tcW w:type="dxa" w:w="3168"/>
            <w:vAlign w:val="center"/>
            <w:tcMar>
              <w:top w:w="90" w:type="dxa"/>
              <w:start w:w="90" w:type="dxa"/>
              <w:bottom w:w="90" w:type="dxa"/>
              <w:end w:w="90" w:type="dxa"/>
            </w:tcMar>
          </w:tcPr>
          <w:p>
            <w:pPr>
              <w:jc w:val="left"/>
            </w:pPr>
            <w:r/>
            <w:r>
              <w:rPr>
                <w:b w:val="0"/>
                <w:color w:val="1F2937"/>
                <w:sz w:val="16"/>
              </w:rPr>
              <w:t>Bookings / large deals</w:t>
            </w:r>
          </w:p>
        </w:tc>
        <w:tc>
          <w:tcPr>
            <w:tcW w:type="dxa" w:w="2736"/>
            <w:vAlign w:val="center"/>
            <w:tcMar>
              <w:top w:w="90" w:type="dxa"/>
              <w:start w:w="90" w:type="dxa"/>
              <w:bottom w:w="90" w:type="dxa"/>
              <w:end w:w="90" w:type="dxa"/>
            </w:tcMar>
          </w:tcPr>
          <w:p>
            <w:pPr>
              <w:jc w:val="left"/>
            </w:pPr>
            <w:r/>
            <w:r>
              <w:rPr>
                <w:b w:val="0"/>
                <w:color w:val="1F2937"/>
                <w:sz w:val="16"/>
              </w:rPr>
              <w:t>$3,370m / $1,626m</w:t>
            </w:r>
          </w:p>
        </w:tc>
        <w:tc>
          <w:tcPr>
            <w:tcW w:type="dxa" w:w="2880"/>
            <w:vAlign w:val="center"/>
            <w:tcMar>
              <w:top w:w="90" w:type="dxa"/>
              <w:start w:w="90" w:type="dxa"/>
              <w:bottom w:w="90" w:type="dxa"/>
              <w:end w:w="90" w:type="dxa"/>
            </w:tcMar>
          </w:tcPr>
          <w:p>
            <w:pPr>
              <w:jc w:val="left"/>
            </w:pPr>
            <w:r/>
            <w:r>
              <w:rPr>
                <w:b w:val="0"/>
                <w:color w:val="1F2937"/>
                <w:sz w:val="16"/>
              </w:rPr>
              <w:t>Issuer Q1 FY27 release</w:t>
            </w:r>
          </w:p>
        </w:tc>
      </w:tr>
      <w:tr>
        <w:tc>
          <w:tcPr>
            <w:tcW w:type="dxa" w:w="1440"/>
            <w:vAlign w:val="center"/>
            <w:tcMar>
              <w:top w:w="90" w:type="dxa"/>
              <w:start w:w="90" w:type="dxa"/>
              <w:bottom w:w="90" w:type="dxa"/>
              <w:end w:w="90" w:type="dxa"/>
            </w:tcMar>
            <w:shd w:fill="F7FAFC"/>
          </w:tcPr>
          <w:p>
            <w:pPr>
              <w:jc w:val="left"/>
            </w:pPr>
            <w:r/>
            <w:r>
              <w:rPr>
                <w:b w:val="0"/>
                <w:color w:val="1F2937"/>
                <w:sz w:val="16"/>
              </w:rPr>
              <w:t>Wipro</w:t>
            </w:r>
          </w:p>
        </w:tc>
        <w:tc>
          <w:tcPr>
            <w:tcW w:type="dxa" w:w="3168"/>
            <w:vAlign w:val="center"/>
            <w:tcMar>
              <w:top w:w="90" w:type="dxa"/>
              <w:start w:w="90" w:type="dxa"/>
              <w:bottom w:w="90" w:type="dxa"/>
              <w:end w:w="90" w:type="dxa"/>
            </w:tcMar>
            <w:shd w:fill="F7FAFC"/>
          </w:tcPr>
          <w:p>
            <w:pPr>
              <w:jc w:val="left"/>
            </w:pPr>
            <w:r/>
            <w:r>
              <w:rPr>
                <w:b w:val="0"/>
                <w:color w:val="1F2937"/>
                <w:sz w:val="16"/>
              </w:rPr>
              <w:t>LTM attrition</w:t>
            </w:r>
          </w:p>
        </w:tc>
        <w:tc>
          <w:tcPr>
            <w:tcW w:type="dxa" w:w="2736"/>
            <w:vAlign w:val="center"/>
            <w:tcMar>
              <w:top w:w="90" w:type="dxa"/>
              <w:start w:w="90" w:type="dxa"/>
              <w:bottom w:w="90" w:type="dxa"/>
              <w:end w:w="90" w:type="dxa"/>
            </w:tcMar>
            <w:shd w:fill="F7FAFC"/>
          </w:tcPr>
          <w:p>
            <w:pPr>
              <w:jc w:val="left"/>
            </w:pPr>
            <w:r/>
            <w:r>
              <w:rPr>
                <w:b w:val="0"/>
                <w:color w:val="1F2937"/>
                <w:sz w:val="16"/>
              </w:rPr>
              <w:t>13.9%</w:t>
            </w:r>
          </w:p>
        </w:tc>
        <w:tc>
          <w:tcPr>
            <w:tcW w:type="dxa" w:w="2880"/>
            <w:vAlign w:val="center"/>
            <w:tcMar>
              <w:top w:w="90" w:type="dxa"/>
              <w:start w:w="90" w:type="dxa"/>
              <w:bottom w:w="90" w:type="dxa"/>
              <w:end w:w="90" w:type="dxa"/>
            </w:tcMar>
            <w:shd w:fill="F7FAFC"/>
          </w:tcPr>
          <w:p>
            <w:pPr>
              <w:jc w:val="left"/>
            </w:pPr>
            <w:r/>
            <w:r>
              <w:rPr>
                <w:b w:val="0"/>
                <w:color w:val="1F2937"/>
                <w:sz w:val="16"/>
              </w:rPr>
              <w:t>Issuer Q1 FY27 release</w:t>
            </w:r>
          </w:p>
        </w:tc>
      </w:tr>
    </w:tbl>
    <w:p>
      <w:pPr>
        <w:pStyle w:val="Note"/>
      </w:pPr>
      <w:r>
        <w:rPr>
          <w:i/>
          <w:color w:val="667085"/>
          <w:sz w:val="17"/>
        </w:rPr>
        <w:t>Basis note: Wipro’s operating margin is for IT Services. Constant-currency definitions also differ slightly by issuer, so Week 3 should present the metric with its company-specific disclosure basis.</w:t>
      </w:r>
    </w:p>
    <w:p>
      <w:r>
        <w:drawing>
          <wp:inline xmlns:a="http://schemas.openxmlformats.org/drawingml/2006/main" xmlns:pic="http://schemas.openxmlformats.org/drawingml/2006/picture">
            <wp:extent cx="6035040" cy="2946897"/>
            <wp:docPr id="2" name="Picture 2"/>
            <wp:cNvGraphicFramePr>
              <a:graphicFrameLocks noChangeAspect="1"/>
            </wp:cNvGraphicFramePr>
            <a:graphic>
              <a:graphicData uri="http://schemas.openxmlformats.org/drawingml/2006/picture">
                <pic:pic>
                  <pic:nvPicPr>
                    <pic:cNvPr id="0" name="week2_q1_margin.png"/>
                    <pic:cNvPicPr/>
                  </pic:nvPicPr>
                  <pic:blipFill>
                    <a:blip r:embed="rId12"/>
                    <a:stretch>
                      <a:fillRect/>
                    </a:stretch>
                  </pic:blipFill>
                  <pic:spPr>
                    <a:xfrm>
                      <a:off x="0" y="0"/>
                      <a:ext cx="6035040" cy="2946897"/>
                    </a:xfrm>
                    <a:prstGeom prst="rect"/>
                  </pic:spPr>
                </pic:pic>
              </a:graphicData>
            </a:graphic>
          </wp:inline>
        </w:drawing>
      </w:r>
    </w:p>
    <w:p>
      <w:pPr>
        <w:jc w:val="center"/>
      </w:pPr>
      <w:r>
        <w:rPr>
          <w:i/>
          <w:color w:val="667085"/>
          <w:sz w:val="17"/>
        </w:rPr>
        <w:t>Figure 2. Q1 FY27 operating-margin snapshot using issuer-reported/current validation data.</w:t>
      </w:r>
    </w:p>
    <w:p>
      <w:pPr>
        <w:pStyle w:val="Heading1"/>
      </w:pPr>
      <w:r>
        <w:t>5. Data Quality Assessment and Reconciliation</w:t>
      </w:r>
    </w:p>
    <w:p>
      <w:r>
        <w:t>The objective of QA is to distinguish a genuine financial movement from a data problem. A reconciliation issue is therefore treated as a finding, not as an inconvenience to be hidden. The working panel passed coverage and unit checks, while several current-quarter items remain flagged for explicit treatment.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vAlign w:val="center"/>
            <w:tcMar>
              <w:top w:w="90" w:type="dxa"/>
              <w:start w:w="90" w:type="dxa"/>
              <w:bottom w:w="90" w:type="dxa"/>
              <w:end w:w="90" w:type="dxa"/>
            </w:tcMar>
            <w:shd w:fill="17365D"/>
          </w:tcPr>
          <w:p>
            <w:pPr>
              <w:jc w:val="center"/>
            </w:pPr>
            <w:r/>
            <w:r>
              <w:rPr>
                <w:b/>
                <w:color w:val="FFFFFF"/>
                <w:sz w:val="16"/>
              </w:rPr>
              <w:t>Control</w:t>
            </w:r>
          </w:p>
        </w:tc>
        <w:tc>
          <w:tcPr>
            <w:tcW w:type="dxa" w:w="3960"/>
            <w:vAlign w:val="center"/>
            <w:tcMar>
              <w:top w:w="90" w:type="dxa"/>
              <w:start w:w="90" w:type="dxa"/>
              <w:bottom w:w="90" w:type="dxa"/>
              <w:end w:w="90" w:type="dxa"/>
            </w:tcMar>
            <w:shd w:fill="17365D"/>
          </w:tcPr>
          <w:p>
            <w:pPr>
              <w:jc w:val="center"/>
            </w:pPr>
            <w:r/>
            <w:r>
              <w:rPr>
                <w:b/>
                <w:color w:val="FFFFFF"/>
                <w:sz w:val="16"/>
              </w:rPr>
              <w:t>Result</w:t>
            </w:r>
          </w:p>
        </w:tc>
        <w:tc>
          <w:tcPr>
            <w:tcW w:type="dxa" w:w="936"/>
            <w:vAlign w:val="center"/>
            <w:tcMar>
              <w:top w:w="90" w:type="dxa"/>
              <w:start w:w="90" w:type="dxa"/>
              <w:bottom w:w="90" w:type="dxa"/>
              <w:end w:w="90" w:type="dxa"/>
            </w:tcMar>
            <w:shd w:fill="17365D"/>
          </w:tcPr>
          <w:p>
            <w:pPr>
              <w:jc w:val="center"/>
            </w:pPr>
            <w:r/>
            <w:r>
              <w:rPr>
                <w:b/>
                <w:color w:val="FFFFFF"/>
                <w:sz w:val="16"/>
              </w:rPr>
              <w:t>Status</w:t>
            </w:r>
          </w:p>
        </w:tc>
        <w:tc>
          <w:tcPr>
            <w:tcW w:type="dxa" w:w="2952"/>
            <w:vAlign w:val="center"/>
            <w:tcMar>
              <w:top w:w="90" w:type="dxa"/>
              <w:start w:w="90" w:type="dxa"/>
              <w:bottom w:w="90" w:type="dxa"/>
              <w:end w:w="90" w:type="dxa"/>
            </w:tcMar>
            <w:shd w:fill="17365D"/>
          </w:tcPr>
          <w:p>
            <w:pPr>
              <w:jc w:val="center"/>
            </w:pPr>
            <w:r/>
            <w:r>
              <w:rPr>
                <w:b/>
                <w:color w:val="FFFFFF"/>
                <w:sz w:val="16"/>
              </w:rPr>
              <w:t>Planned treatment</w:t>
            </w:r>
          </w:p>
        </w:tc>
      </w:tr>
      <w:tr>
        <w:tc>
          <w:tcPr>
            <w:tcW w:type="dxa" w:w="2448"/>
            <w:vAlign w:val="center"/>
            <w:tcMar>
              <w:top w:w="90" w:type="dxa"/>
              <w:start w:w="90" w:type="dxa"/>
              <w:bottom w:w="90" w:type="dxa"/>
              <w:end w:w="90" w:type="dxa"/>
            </w:tcMar>
            <w:shd w:fill="F7FAFC"/>
          </w:tcPr>
          <w:p>
            <w:pPr>
              <w:jc w:val="left"/>
            </w:pPr>
            <w:r/>
            <w:r>
              <w:rPr>
                <w:b w:val="0"/>
                <w:color w:val="1F2937"/>
                <w:sz w:val="16"/>
              </w:rPr>
              <w:t>Coverage</w:t>
            </w:r>
          </w:p>
        </w:tc>
        <w:tc>
          <w:tcPr>
            <w:tcW w:type="dxa" w:w="3960"/>
            <w:vAlign w:val="center"/>
            <w:tcMar>
              <w:top w:w="90" w:type="dxa"/>
              <w:start w:w="90" w:type="dxa"/>
              <w:bottom w:w="90" w:type="dxa"/>
              <w:end w:w="90" w:type="dxa"/>
            </w:tcMar>
            <w:shd w:fill="F7FAFC"/>
          </w:tcPr>
          <w:p>
            <w:pPr>
              <w:jc w:val="left"/>
            </w:pPr>
            <w:r/>
            <w:r>
              <w:rPr>
                <w:b w:val="0"/>
                <w:color w:val="1F2937"/>
                <w:sz w:val="16"/>
              </w:rPr>
              <w:t>13 common quarters per company; 52 rows in total</w:t>
            </w:r>
          </w:p>
        </w:tc>
        <w:tc>
          <w:tcPr>
            <w:tcW w:type="dxa" w:w="936"/>
            <w:vAlign w:val="center"/>
            <w:tcMar>
              <w:top w:w="90" w:type="dxa"/>
              <w:start w:w="90" w:type="dxa"/>
              <w:bottom w:w="90" w:type="dxa"/>
              <w:end w:w="90" w:type="dxa"/>
            </w:tcMar>
            <w:shd w:fill="F7FAFC"/>
          </w:tcPr>
          <w:p>
            <w:pPr>
              <w:jc w:val="left"/>
            </w:pPr>
            <w:r/>
            <w:r>
              <w:rPr>
                <w:b w:val="0"/>
                <w:color w:val="1F2937"/>
                <w:sz w:val="16"/>
              </w:rPr>
              <w:t>PASS</w:t>
            </w:r>
          </w:p>
        </w:tc>
        <w:tc>
          <w:tcPr>
            <w:tcW w:type="dxa" w:w="2952"/>
            <w:vAlign w:val="center"/>
            <w:tcMar>
              <w:top w:w="90" w:type="dxa"/>
              <w:start w:w="90" w:type="dxa"/>
              <w:bottom w:w="90" w:type="dxa"/>
              <w:end w:w="90" w:type="dxa"/>
            </w:tcMar>
            <w:shd w:fill="F7FAFC"/>
          </w:tcPr>
          <w:p>
            <w:pPr>
              <w:jc w:val="left"/>
            </w:pPr>
            <w:r/>
            <w:r>
              <w:rPr>
                <w:b w:val="0"/>
                <w:color w:val="1F2937"/>
                <w:sz w:val="16"/>
              </w:rPr>
              <w:t>Use the common panel for peer charts</w:t>
            </w:r>
          </w:p>
        </w:tc>
      </w:tr>
      <w:tr>
        <w:tc>
          <w:tcPr>
            <w:tcW w:type="dxa" w:w="2448"/>
            <w:vAlign w:val="center"/>
            <w:tcMar>
              <w:top w:w="90" w:type="dxa"/>
              <w:start w:w="90" w:type="dxa"/>
              <w:bottom w:w="90" w:type="dxa"/>
              <w:end w:w="90" w:type="dxa"/>
            </w:tcMar>
          </w:tcPr>
          <w:p>
            <w:pPr>
              <w:jc w:val="left"/>
            </w:pPr>
            <w:r/>
            <w:r>
              <w:rPr>
                <w:b w:val="0"/>
                <w:color w:val="1F2937"/>
                <w:sz w:val="16"/>
              </w:rPr>
              <w:t>Core financial completeness</w:t>
            </w:r>
          </w:p>
        </w:tc>
        <w:tc>
          <w:tcPr>
            <w:tcW w:type="dxa" w:w="3960"/>
            <w:vAlign w:val="center"/>
            <w:tcMar>
              <w:top w:w="90" w:type="dxa"/>
              <w:start w:w="90" w:type="dxa"/>
              <w:bottom w:w="90" w:type="dxa"/>
              <w:end w:w="90" w:type="dxa"/>
            </w:tcMar>
          </w:tcPr>
          <w:p>
            <w:pPr>
              <w:jc w:val="left"/>
            </w:pPr>
            <w:r/>
            <w:r>
              <w:rPr>
                <w:b w:val="0"/>
                <w:color w:val="1F2937"/>
                <w:sz w:val="16"/>
              </w:rPr>
              <w:t>Revenue, operating profit and net profit populated across the 52-row panel</w:t>
            </w:r>
          </w:p>
        </w:tc>
        <w:tc>
          <w:tcPr>
            <w:tcW w:type="dxa" w:w="936"/>
            <w:vAlign w:val="center"/>
            <w:tcMar>
              <w:top w:w="90" w:type="dxa"/>
              <w:start w:w="90" w:type="dxa"/>
              <w:bottom w:w="90" w:type="dxa"/>
              <w:end w:w="90" w:type="dxa"/>
            </w:tcMar>
          </w:tcPr>
          <w:p>
            <w:pPr>
              <w:jc w:val="left"/>
            </w:pPr>
            <w:r/>
            <w:r>
              <w:rPr>
                <w:b w:val="0"/>
                <w:color w:val="1F2937"/>
                <w:sz w:val="16"/>
              </w:rPr>
              <w:t>PASS</w:t>
            </w:r>
          </w:p>
        </w:tc>
        <w:tc>
          <w:tcPr>
            <w:tcW w:type="dxa" w:w="2952"/>
            <w:vAlign w:val="center"/>
            <w:tcMar>
              <w:top w:w="90" w:type="dxa"/>
              <w:start w:w="90" w:type="dxa"/>
              <w:bottom w:w="90" w:type="dxa"/>
              <w:end w:w="90" w:type="dxa"/>
            </w:tcMar>
          </w:tcPr>
          <w:p>
            <w:pPr>
              <w:jc w:val="left"/>
            </w:pPr>
            <w:r/>
            <w:r>
              <w:rPr>
                <w:b w:val="0"/>
                <w:color w:val="1F2937"/>
                <w:sz w:val="16"/>
              </w:rPr>
              <w:t>Proceed to derived metrics</w:t>
            </w:r>
          </w:p>
        </w:tc>
      </w:tr>
      <w:tr>
        <w:tc>
          <w:tcPr>
            <w:tcW w:type="dxa" w:w="2448"/>
            <w:vAlign w:val="center"/>
            <w:tcMar>
              <w:top w:w="90" w:type="dxa"/>
              <w:start w:w="90" w:type="dxa"/>
              <w:bottom w:w="90" w:type="dxa"/>
              <w:end w:w="90" w:type="dxa"/>
            </w:tcMar>
            <w:shd w:fill="F7FAFC"/>
          </w:tcPr>
          <w:p>
            <w:pPr>
              <w:jc w:val="left"/>
            </w:pPr>
            <w:r/>
            <w:r>
              <w:rPr>
                <w:b w:val="0"/>
                <w:color w:val="1F2937"/>
                <w:sz w:val="16"/>
              </w:rPr>
              <w:t>Unit standardization</w:t>
            </w:r>
          </w:p>
        </w:tc>
        <w:tc>
          <w:tcPr>
            <w:tcW w:type="dxa" w:w="3960"/>
            <w:vAlign w:val="center"/>
            <w:tcMar>
              <w:top w:w="90" w:type="dxa"/>
              <w:start w:w="90" w:type="dxa"/>
              <w:bottom w:w="90" w:type="dxa"/>
              <w:end w:w="90" w:type="dxa"/>
            </w:tcMar>
            <w:shd w:fill="F7FAFC"/>
          </w:tcPr>
          <w:p>
            <w:pPr>
              <w:jc w:val="left"/>
            </w:pPr>
            <w:r/>
            <w:r>
              <w:rPr>
                <w:b w:val="0"/>
                <w:color w:val="1F2937"/>
                <w:sz w:val="16"/>
              </w:rPr>
              <w:t>Common financial fields stored in INR crore</w:t>
            </w:r>
          </w:p>
        </w:tc>
        <w:tc>
          <w:tcPr>
            <w:tcW w:type="dxa" w:w="936"/>
            <w:vAlign w:val="center"/>
            <w:tcMar>
              <w:top w:w="90" w:type="dxa"/>
              <w:start w:w="90" w:type="dxa"/>
              <w:bottom w:w="90" w:type="dxa"/>
              <w:end w:w="90" w:type="dxa"/>
            </w:tcMar>
            <w:shd w:fill="F7FAFC"/>
          </w:tcPr>
          <w:p>
            <w:pPr>
              <w:jc w:val="left"/>
            </w:pPr>
            <w:r/>
            <w:r>
              <w:rPr>
                <w:b w:val="0"/>
                <w:color w:val="1F2937"/>
                <w:sz w:val="16"/>
              </w:rPr>
              <w:t>PASS</w:t>
            </w:r>
          </w:p>
        </w:tc>
        <w:tc>
          <w:tcPr>
            <w:tcW w:type="dxa" w:w="2952"/>
            <w:vAlign w:val="center"/>
            <w:tcMar>
              <w:top w:w="90" w:type="dxa"/>
              <w:start w:w="90" w:type="dxa"/>
              <w:bottom w:w="90" w:type="dxa"/>
              <w:end w:w="90" w:type="dxa"/>
            </w:tcMar>
            <w:shd w:fill="F7FAFC"/>
          </w:tcPr>
          <w:p>
            <w:pPr>
              <w:jc w:val="left"/>
            </w:pPr>
            <w:r/>
            <w:r>
              <w:rPr>
                <w:b w:val="0"/>
                <w:color w:val="1F2937"/>
                <w:sz w:val="16"/>
              </w:rPr>
              <w:t>No additional scaling before analysis</w:t>
            </w:r>
          </w:p>
        </w:tc>
      </w:tr>
      <w:tr>
        <w:tc>
          <w:tcPr>
            <w:tcW w:type="dxa" w:w="2448"/>
            <w:vAlign w:val="center"/>
            <w:tcMar>
              <w:top w:w="90" w:type="dxa"/>
              <w:start w:w="90" w:type="dxa"/>
              <w:bottom w:w="90" w:type="dxa"/>
              <w:end w:w="90" w:type="dxa"/>
            </w:tcMar>
          </w:tcPr>
          <w:p>
            <w:pPr>
              <w:jc w:val="left"/>
            </w:pPr>
            <w:r/>
            <w:r>
              <w:rPr>
                <w:b w:val="0"/>
                <w:color w:val="1F2937"/>
                <w:sz w:val="16"/>
              </w:rPr>
              <w:t>Wipro basis</w:t>
            </w:r>
          </w:p>
        </w:tc>
        <w:tc>
          <w:tcPr>
            <w:tcW w:type="dxa" w:w="3960"/>
            <w:vAlign w:val="center"/>
            <w:tcMar>
              <w:top w:w="90" w:type="dxa"/>
              <w:start w:w="90" w:type="dxa"/>
              <w:bottom w:w="90" w:type="dxa"/>
              <w:end w:w="90" w:type="dxa"/>
            </w:tcMar>
          </w:tcPr>
          <w:p>
            <w:pPr>
              <w:jc w:val="left"/>
            </w:pPr>
            <w:r/>
            <w:r>
              <w:rPr>
                <w:b w:val="0"/>
                <w:color w:val="1F2937"/>
                <w:sz w:val="16"/>
              </w:rPr>
              <w:t>Operating margin is IT-services basis</w:t>
            </w:r>
          </w:p>
        </w:tc>
        <w:tc>
          <w:tcPr>
            <w:tcW w:type="dxa" w:w="936"/>
            <w:vAlign w:val="center"/>
            <w:tcMar>
              <w:top w:w="90" w:type="dxa"/>
              <w:start w:w="90" w:type="dxa"/>
              <w:bottom w:w="90" w:type="dxa"/>
              <w:end w:w="90" w:type="dxa"/>
            </w:tcMar>
          </w:tcPr>
          <w:p>
            <w:pPr>
              <w:jc w:val="left"/>
            </w:pPr>
            <w:r/>
            <w:r>
              <w:rPr>
                <w:b w:val="0"/>
                <w:color w:val="1F2937"/>
                <w:sz w:val="16"/>
              </w:rPr>
              <w:t>FLAG</w:t>
            </w:r>
          </w:p>
        </w:tc>
        <w:tc>
          <w:tcPr>
            <w:tcW w:type="dxa" w:w="2952"/>
            <w:vAlign w:val="center"/>
            <w:tcMar>
              <w:top w:w="90" w:type="dxa"/>
              <w:start w:w="90" w:type="dxa"/>
              <w:bottom w:w="90" w:type="dxa"/>
              <w:end w:w="90" w:type="dxa"/>
            </w:tcMar>
          </w:tcPr>
          <w:p>
            <w:pPr>
              <w:jc w:val="left"/>
            </w:pPr>
            <w:r/>
            <w:r>
              <w:rPr>
                <w:b w:val="0"/>
                <w:color w:val="1F2937"/>
                <w:sz w:val="16"/>
              </w:rPr>
              <w:t>Keep basis in chart/table labels</w:t>
            </w:r>
          </w:p>
        </w:tc>
      </w:tr>
      <w:tr>
        <w:tc>
          <w:tcPr>
            <w:tcW w:type="dxa" w:w="2448"/>
            <w:vAlign w:val="center"/>
            <w:tcMar>
              <w:top w:w="90" w:type="dxa"/>
              <w:start w:w="90" w:type="dxa"/>
              <w:bottom w:w="90" w:type="dxa"/>
              <w:end w:w="90" w:type="dxa"/>
            </w:tcMar>
            <w:shd w:fill="F7FAFC"/>
          </w:tcPr>
          <w:p>
            <w:pPr>
              <w:jc w:val="left"/>
            </w:pPr>
            <w:r/>
            <w:r>
              <w:rPr>
                <w:b w:val="0"/>
                <w:color w:val="1F2937"/>
                <w:sz w:val="16"/>
              </w:rPr>
              <w:t>Infosys Q1 FY27 net profit</w:t>
            </w:r>
          </w:p>
        </w:tc>
        <w:tc>
          <w:tcPr>
            <w:tcW w:type="dxa" w:w="3960"/>
            <w:vAlign w:val="center"/>
            <w:tcMar>
              <w:top w:w="90" w:type="dxa"/>
              <w:start w:w="90" w:type="dxa"/>
              <w:bottom w:w="90" w:type="dxa"/>
              <w:end w:w="90" w:type="dxa"/>
            </w:tcMar>
            <w:shd w:fill="F7FAFC"/>
          </w:tcPr>
          <w:p>
            <w:pPr>
              <w:jc w:val="left"/>
            </w:pPr>
            <w:r/>
            <w:r>
              <w:rPr>
                <w:b w:val="0"/>
                <w:color w:val="1F2937"/>
                <w:sz w:val="16"/>
              </w:rPr>
              <w:t>Issuer ₹7,769 Cr vs structured series ₹7,775 Cr</w:t>
            </w:r>
          </w:p>
        </w:tc>
        <w:tc>
          <w:tcPr>
            <w:tcW w:type="dxa" w:w="936"/>
            <w:vAlign w:val="center"/>
            <w:tcMar>
              <w:top w:w="90" w:type="dxa"/>
              <w:start w:w="90" w:type="dxa"/>
              <w:bottom w:w="90" w:type="dxa"/>
              <w:end w:w="90" w:type="dxa"/>
            </w:tcMar>
            <w:shd w:fill="F7FAFC"/>
          </w:tcPr>
          <w:p>
            <w:pPr>
              <w:jc w:val="left"/>
            </w:pPr>
            <w:r/>
            <w:r>
              <w:rPr>
                <w:b w:val="0"/>
                <w:color w:val="1F2937"/>
                <w:sz w:val="16"/>
              </w:rPr>
              <w:t>FLAG</w:t>
            </w:r>
          </w:p>
        </w:tc>
        <w:tc>
          <w:tcPr>
            <w:tcW w:type="dxa" w:w="2952"/>
            <w:vAlign w:val="center"/>
            <w:tcMar>
              <w:top w:w="90" w:type="dxa"/>
              <w:start w:w="90" w:type="dxa"/>
              <w:bottom w:w="90" w:type="dxa"/>
              <w:end w:w="90" w:type="dxa"/>
            </w:tcMar>
            <w:shd w:fill="F7FAFC"/>
          </w:tcPr>
          <w:p>
            <w:pPr>
              <w:jc w:val="left"/>
            </w:pPr>
            <w:r/>
            <w:r>
              <w:rPr>
                <w:b w:val="0"/>
                <w:color w:val="1F2937"/>
                <w:sz w:val="16"/>
              </w:rPr>
              <w:t>Use issuer figure in current KPI tab; retain structured history with reconciliation note</w:t>
            </w:r>
          </w:p>
        </w:tc>
      </w:tr>
      <w:tr>
        <w:tc>
          <w:tcPr>
            <w:tcW w:type="dxa" w:w="2448"/>
            <w:vAlign w:val="center"/>
            <w:tcMar>
              <w:top w:w="90" w:type="dxa"/>
              <w:start w:w="90" w:type="dxa"/>
              <w:bottom w:w="90" w:type="dxa"/>
              <w:end w:w="90" w:type="dxa"/>
            </w:tcMar>
          </w:tcPr>
          <w:p>
            <w:pPr>
              <w:jc w:val="left"/>
            </w:pPr>
            <w:r/>
            <w:r>
              <w:rPr>
                <w:b w:val="0"/>
                <w:color w:val="1F2937"/>
                <w:sz w:val="16"/>
              </w:rPr>
              <w:t>HCLTech Q1 FY27 net income</w:t>
            </w:r>
          </w:p>
        </w:tc>
        <w:tc>
          <w:tcPr>
            <w:tcW w:type="dxa" w:w="3960"/>
            <w:vAlign w:val="center"/>
            <w:tcMar>
              <w:top w:w="90" w:type="dxa"/>
              <w:start w:w="90" w:type="dxa"/>
              <w:bottom w:w="90" w:type="dxa"/>
              <w:end w:w="90" w:type="dxa"/>
            </w:tcMar>
          </w:tcPr>
          <w:p>
            <w:pPr>
              <w:jc w:val="left"/>
            </w:pPr>
            <w:r/>
            <w:r>
              <w:rPr>
                <w:b w:val="0"/>
                <w:color w:val="1F2937"/>
                <w:sz w:val="16"/>
              </w:rPr>
              <w:t>Issuer ₹4,624 Cr vs structured series ₹4,626 Cr</w:t>
            </w:r>
          </w:p>
        </w:tc>
        <w:tc>
          <w:tcPr>
            <w:tcW w:type="dxa" w:w="936"/>
            <w:vAlign w:val="center"/>
            <w:tcMar>
              <w:top w:w="90" w:type="dxa"/>
              <w:start w:w="90" w:type="dxa"/>
              <w:bottom w:w="90" w:type="dxa"/>
              <w:end w:w="90" w:type="dxa"/>
            </w:tcMar>
          </w:tcPr>
          <w:p>
            <w:pPr>
              <w:jc w:val="left"/>
            </w:pPr>
            <w:r/>
            <w:r>
              <w:rPr>
                <w:b w:val="0"/>
                <w:color w:val="1F2937"/>
                <w:sz w:val="16"/>
              </w:rPr>
              <w:t>FLAG</w:t>
            </w:r>
          </w:p>
        </w:tc>
        <w:tc>
          <w:tcPr>
            <w:tcW w:type="dxa" w:w="2952"/>
            <w:vAlign w:val="center"/>
            <w:tcMar>
              <w:top w:w="90" w:type="dxa"/>
              <w:start w:w="90" w:type="dxa"/>
              <w:bottom w:w="90" w:type="dxa"/>
              <w:end w:w="90" w:type="dxa"/>
            </w:tcMar>
          </w:tcPr>
          <w:p>
            <w:pPr>
              <w:jc w:val="left"/>
            </w:pPr>
            <w:r/>
            <w:r>
              <w:rPr>
                <w:b w:val="0"/>
                <w:color w:val="1F2937"/>
                <w:sz w:val="16"/>
              </w:rPr>
              <w:t>Use issuer figure in current KPI tab</w:t>
            </w:r>
          </w:p>
        </w:tc>
      </w:tr>
      <w:tr>
        <w:tc>
          <w:tcPr>
            <w:tcW w:type="dxa" w:w="2448"/>
            <w:vAlign w:val="center"/>
            <w:tcMar>
              <w:top w:w="90" w:type="dxa"/>
              <w:start w:w="90" w:type="dxa"/>
              <w:bottom w:w="90" w:type="dxa"/>
              <w:end w:w="90" w:type="dxa"/>
            </w:tcMar>
            <w:shd w:fill="F7FAFC"/>
          </w:tcPr>
          <w:p>
            <w:pPr>
              <w:jc w:val="left"/>
            </w:pPr>
            <w:r/>
            <w:r>
              <w:rPr>
                <w:b w:val="0"/>
                <w:color w:val="1F2937"/>
                <w:sz w:val="16"/>
              </w:rPr>
              <w:t>Wipro Q1 FY27 net income</w:t>
            </w:r>
          </w:p>
        </w:tc>
        <w:tc>
          <w:tcPr>
            <w:tcW w:type="dxa" w:w="3960"/>
            <w:vAlign w:val="center"/>
            <w:tcMar>
              <w:top w:w="90" w:type="dxa"/>
              <w:start w:w="90" w:type="dxa"/>
              <w:bottom w:w="90" w:type="dxa"/>
              <w:end w:w="90" w:type="dxa"/>
            </w:tcMar>
            <w:shd w:fill="F7FAFC"/>
          </w:tcPr>
          <w:p>
            <w:pPr>
              <w:jc w:val="left"/>
            </w:pPr>
            <w:r/>
            <w:r>
              <w:rPr>
                <w:b w:val="0"/>
                <w:color w:val="1F2937"/>
                <w:sz w:val="16"/>
              </w:rPr>
              <w:t>Issuer ₹3,360 Cr vs structured series ₹3,356 Cr</w:t>
            </w:r>
          </w:p>
        </w:tc>
        <w:tc>
          <w:tcPr>
            <w:tcW w:type="dxa" w:w="936"/>
            <w:vAlign w:val="center"/>
            <w:tcMar>
              <w:top w:w="90" w:type="dxa"/>
              <w:start w:w="90" w:type="dxa"/>
              <w:bottom w:w="90" w:type="dxa"/>
              <w:end w:w="90" w:type="dxa"/>
            </w:tcMar>
            <w:shd w:fill="F7FAFC"/>
          </w:tcPr>
          <w:p>
            <w:pPr>
              <w:jc w:val="left"/>
            </w:pPr>
            <w:r/>
            <w:r>
              <w:rPr>
                <w:b w:val="0"/>
                <w:color w:val="1F2937"/>
                <w:sz w:val="16"/>
              </w:rPr>
              <w:t>FLAG</w:t>
            </w:r>
          </w:p>
        </w:tc>
        <w:tc>
          <w:tcPr>
            <w:tcW w:type="dxa" w:w="2952"/>
            <w:vAlign w:val="center"/>
            <w:tcMar>
              <w:top w:w="90" w:type="dxa"/>
              <w:start w:w="90" w:type="dxa"/>
              <w:bottom w:w="90" w:type="dxa"/>
              <w:end w:w="90" w:type="dxa"/>
            </w:tcMar>
            <w:shd w:fill="F7FAFC"/>
          </w:tcPr>
          <w:p>
            <w:pPr>
              <w:jc w:val="left"/>
            </w:pPr>
            <w:r/>
            <w:r>
              <w:rPr>
                <w:b w:val="0"/>
                <w:color w:val="1F2937"/>
                <w:sz w:val="16"/>
              </w:rPr>
              <w:t>Use issuer figure in current KPI tab</w:t>
            </w:r>
          </w:p>
        </w:tc>
      </w:tr>
      <w:tr>
        <w:tc>
          <w:tcPr>
            <w:tcW w:type="dxa" w:w="2448"/>
            <w:vAlign w:val="center"/>
            <w:tcMar>
              <w:top w:w="90" w:type="dxa"/>
              <w:start w:w="90" w:type="dxa"/>
              <w:bottom w:w="90" w:type="dxa"/>
              <w:end w:w="90" w:type="dxa"/>
            </w:tcMar>
          </w:tcPr>
          <w:p>
            <w:pPr>
              <w:jc w:val="left"/>
            </w:pPr>
            <w:r/>
            <w:r>
              <w:rPr>
                <w:b w:val="0"/>
                <w:color w:val="1F2937"/>
                <w:sz w:val="16"/>
              </w:rPr>
              <w:t>Wipro employee count</w:t>
            </w:r>
          </w:p>
        </w:tc>
        <w:tc>
          <w:tcPr>
            <w:tcW w:type="dxa" w:w="3960"/>
            <w:vAlign w:val="center"/>
            <w:tcMar>
              <w:top w:w="90" w:type="dxa"/>
              <w:start w:w="90" w:type="dxa"/>
              <w:bottom w:w="90" w:type="dxa"/>
              <w:end w:w="90" w:type="dxa"/>
            </w:tcMar>
          </w:tcPr>
          <w:p>
            <w:pPr>
              <w:jc w:val="left"/>
            </w:pPr>
            <w:r/>
            <w:r>
              <w:rPr>
                <w:b w:val="0"/>
                <w:color w:val="1F2937"/>
                <w:sz w:val="16"/>
              </w:rPr>
              <w:t>Exact number not captured; issuer communication gives a &gt;230,000 threshold covering employees and business partners</w:t>
            </w:r>
          </w:p>
        </w:tc>
        <w:tc>
          <w:tcPr>
            <w:tcW w:type="dxa" w:w="936"/>
            <w:vAlign w:val="center"/>
            <w:tcMar>
              <w:top w:w="90" w:type="dxa"/>
              <w:start w:w="90" w:type="dxa"/>
              <w:bottom w:w="90" w:type="dxa"/>
              <w:end w:w="90" w:type="dxa"/>
            </w:tcMar>
          </w:tcPr>
          <w:p>
            <w:pPr>
              <w:jc w:val="left"/>
            </w:pPr>
            <w:r/>
            <w:r>
              <w:rPr>
                <w:b w:val="0"/>
                <w:color w:val="1F2937"/>
                <w:sz w:val="16"/>
              </w:rPr>
              <w:t>FLAG</w:t>
            </w:r>
          </w:p>
        </w:tc>
        <w:tc>
          <w:tcPr>
            <w:tcW w:type="dxa" w:w="2952"/>
            <w:vAlign w:val="center"/>
            <w:tcMar>
              <w:top w:w="90" w:type="dxa"/>
              <w:start w:w="90" w:type="dxa"/>
              <w:bottom w:w="90" w:type="dxa"/>
              <w:end w:w="90" w:type="dxa"/>
            </w:tcMar>
          </w:tcPr>
          <w:p>
            <w:pPr>
              <w:jc w:val="left"/>
            </w:pPr>
            <w:r/>
            <w:r>
              <w:rPr>
                <w:b w:val="0"/>
                <w:color w:val="1F2937"/>
                <w:sz w:val="16"/>
              </w:rPr>
              <w:t>Do not infer a precise productivity denominator</w:t>
            </w:r>
          </w:p>
        </w:tc>
      </w:tr>
      <w:tr>
        <w:tc>
          <w:tcPr>
            <w:tcW w:type="dxa" w:w="2448"/>
            <w:vAlign w:val="center"/>
            <w:tcMar>
              <w:top w:w="90" w:type="dxa"/>
              <w:start w:w="90" w:type="dxa"/>
              <w:bottom w:w="90" w:type="dxa"/>
              <w:end w:w="90" w:type="dxa"/>
            </w:tcMar>
            <w:shd w:fill="F7FAFC"/>
          </w:tcPr>
          <w:p>
            <w:pPr>
              <w:jc w:val="left"/>
            </w:pPr>
            <w:r/>
            <w:r>
              <w:rPr>
                <w:b w:val="0"/>
                <w:color w:val="1F2937"/>
                <w:sz w:val="16"/>
              </w:rPr>
              <w:t>Currency growth</w:t>
            </w:r>
          </w:p>
        </w:tc>
        <w:tc>
          <w:tcPr>
            <w:tcW w:type="dxa" w:w="3960"/>
            <w:vAlign w:val="center"/>
            <w:tcMar>
              <w:top w:w="90" w:type="dxa"/>
              <w:start w:w="90" w:type="dxa"/>
              <w:bottom w:w="90" w:type="dxa"/>
              <w:end w:w="90" w:type="dxa"/>
            </w:tcMar>
            <w:shd w:fill="F7FAFC"/>
          </w:tcPr>
          <w:p>
            <w:pPr>
              <w:jc w:val="left"/>
            </w:pPr>
            <w:r/>
            <w:r>
              <w:rPr>
                <w:b w:val="0"/>
                <w:color w:val="1F2937"/>
                <w:sz w:val="16"/>
              </w:rPr>
              <w:t>Reported INR growth can diverge materially from constant-currency growth</w:t>
            </w:r>
          </w:p>
        </w:tc>
        <w:tc>
          <w:tcPr>
            <w:tcW w:type="dxa" w:w="936"/>
            <w:vAlign w:val="center"/>
            <w:tcMar>
              <w:top w:w="90" w:type="dxa"/>
              <w:start w:w="90" w:type="dxa"/>
              <w:bottom w:w="90" w:type="dxa"/>
              <w:end w:w="90" w:type="dxa"/>
            </w:tcMar>
            <w:shd w:fill="F7FAFC"/>
          </w:tcPr>
          <w:p>
            <w:pPr>
              <w:jc w:val="left"/>
            </w:pPr>
            <w:r/>
            <w:r>
              <w:rPr>
                <w:b w:val="0"/>
                <w:color w:val="1F2937"/>
                <w:sz w:val="16"/>
              </w:rPr>
              <w:t>PASS</w:t>
            </w:r>
          </w:p>
        </w:tc>
        <w:tc>
          <w:tcPr>
            <w:tcW w:type="dxa" w:w="2952"/>
            <w:vAlign w:val="center"/>
            <w:tcMar>
              <w:top w:w="90" w:type="dxa"/>
              <w:start w:w="90" w:type="dxa"/>
              <w:bottom w:w="90" w:type="dxa"/>
              <w:end w:w="90" w:type="dxa"/>
            </w:tcMar>
            <w:shd w:fill="F7FAFC"/>
          </w:tcPr>
          <w:p>
            <w:pPr>
              <w:jc w:val="left"/>
            </w:pPr>
            <w:r/>
            <w:r>
              <w:rPr>
                <w:b w:val="0"/>
                <w:color w:val="1F2937"/>
                <w:sz w:val="16"/>
              </w:rPr>
              <w:t>Store both measures where disclosed</w:t>
            </w:r>
          </w:p>
        </w:tc>
      </w:tr>
      <w:tr>
        <w:tc>
          <w:tcPr>
            <w:tcW w:type="dxa" w:w="2448"/>
            <w:vAlign w:val="center"/>
            <w:tcMar>
              <w:top w:w="90" w:type="dxa"/>
              <w:start w:w="90" w:type="dxa"/>
              <w:bottom w:w="90" w:type="dxa"/>
              <w:end w:w="90" w:type="dxa"/>
            </w:tcMar>
          </w:tcPr>
          <w:p>
            <w:pPr>
              <w:jc w:val="left"/>
            </w:pPr>
            <w:r/>
            <w:r>
              <w:rPr>
                <w:b w:val="0"/>
                <w:color w:val="1F2937"/>
                <w:sz w:val="16"/>
              </w:rPr>
              <w:t>Look-ahead risk</w:t>
            </w:r>
          </w:p>
        </w:tc>
        <w:tc>
          <w:tcPr>
            <w:tcW w:type="dxa" w:w="3960"/>
            <w:vAlign w:val="center"/>
            <w:tcMar>
              <w:top w:w="90" w:type="dxa"/>
              <w:start w:w="90" w:type="dxa"/>
              <w:bottom w:w="90" w:type="dxa"/>
              <w:end w:w="90" w:type="dxa"/>
            </w:tcMar>
          </w:tcPr>
          <w:p>
            <w:pPr>
              <w:jc w:val="left"/>
            </w:pPr>
            <w:r/>
            <w:r>
              <w:rPr>
                <w:b w:val="0"/>
                <w:color w:val="1F2937"/>
                <w:sz w:val="16"/>
              </w:rPr>
              <w:t>Forecast cutoff retained at Q1 FY27</w:t>
            </w:r>
          </w:p>
        </w:tc>
        <w:tc>
          <w:tcPr>
            <w:tcW w:type="dxa" w:w="936"/>
            <w:vAlign w:val="center"/>
            <w:tcMar>
              <w:top w:w="90" w:type="dxa"/>
              <w:start w:w="90" w:type="dxa"/>
              <w:bottom w:w="90" w:type="dxa"/>
              <w:end w:w="90" w:type="dxa"/>
            </w:tcMar>
          </w:tcPr>
          <w:p>
            <w:pPr>
              <w:jc w:val="left"/>
            </w:pPr>
            <w:r/>
            <w:r>
              <w:rPr>
                <w:b w:val="0"/>
                <w:color w:val="1F2937"/>
                <w:sz w:val="16"/>
              </w:rPr>
              <w:t>PASS</w:t>
            </w:r>
          </w:p>
        </w:tc>
        <w:tc>
          <w:tcPr>
            <w:tcW w:type="dxa" w:w="2952"/>
            <w:vAlign w:val="center"/>
            <w:tcMar>
              <w:top w:w="90" w:type="dxa"/>
              <w:start w:w="90" w:type="dxa"/>
              <w:bottom w:w="90" w:type="dxa"/>
              <w:end w:w="90" w:type="dxa"/>
            </w:tcMar>
          </w:tcPr>
          <w:p>
            <w:pPr>
              <w:jc w:val="left"/>
            </w:pPr>
            <w:r/>
            <w:r>
              <w:rPr>
                <w:b w:val="0"/>
                <w:color w:val="1F2937"/>
                <w:sz w:val="16"/>
              </w:rPr>
              <w:t>Week 4 must use time-ordered training/test windows</w:t>
            </w:r>
          </w:p>
        </w:tc>
      </w:tr>
    </w:tbl>
    <w:p>
      <w:pPr>
        <w:pStyle w:val="Heading2"/>
      </w:pPr>
      <w:r>
        <w:t>5.1 Quality dimensions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tcMar>
              <w:top w:w="90" w:type="dxa"/>
              <w:start w:w="90" w:type="dxa"/>
              <w:bottom w:w="90" w:type="dxa"/>
              <w:end w:w="90" w:type="dxa"/>
            </w:tcMar>
            <w:shd w:fill="17365D"/>
          </w:tcPr>
          <w:p>
            <w:pPr>
              <w:jc w:val="center"/>
            </w:pPr>
            <w:r/>
            <w:r>
              <w:rPr>
                <w:b/>
                <w:color w:val="FFFFFF"/>
                <w:sz w:val="16"/>
              </w:rPr>
              <w:t>Dimension</w:t>
            </w:r>
          </w:p>
        </w:tc>
        <w:tc>
          <w:tcPr>
            <w:tcW w:type="dxa" w:w="4896"/>
            <w:vAlign w:val="center"/>
            <w:tcMar>
              <w:top w:w="90" w:type="dxa"/>
              <w:start w:w="90" w:type="dxa"/>
              <w:bottom w:w="90" w:type="dxa"/>
              <w:end w:w="90" w:type="dxa"/>
            </w:tcMar>
            <w:shd w:fill="17365D"/>
          </w:tcPr>
          <w:p>
            <w:pPr>
              <w:jc w:val="center"/>
            </w:pPr>
            <w:r/>
            <w:r>
              <w:rPr>
                <w:b/>
                <w:color w:val="FFFFFF"/>
                <w:sz w:val="16"/>
              </w:rPr>
              <w:t>Assessment</w:t>
            </w:r>
          </w:p>
        </w:tc>
        <w:tc>
          <w:tcPr>
            <w:tcW w:type="dxa" w:w="3888"/>
            <w:vAlign w:val="center"/>
            <w:tcMar>
              <w:top w:w="90" w:type="dxa"/>
              <w:start w:w="90" w:type="dxa"/>
              <w:bottom w:w="90" w:type="dxa"/>
              <w:end w:w="90" w:type="dxa"/>
            </w:tcMar>
            <w:shd w:fill="17365D"/>
          </w:tcPr>
          <w:p>
            <w:pPr>
              <w:jc w:val="center"/>
            </w:pPr>
            <w:r/>
            <w:r>
              <w:rPr>
                <w:b/>
                <w:color w:val="FFFFFF"/>
                <w:sz w:val="16"/>
              </w:rPr>
              <w:t>Analyst implication</w:t>
            </w:r>
          </w:p>
        </w:tc>
      </w:tr>
      <w:tr>
        <w:tc>
          <w:tcPr>
            <w:tcW w:type="dxa" w:w="1440"/>
            <w:vAlign w:val="center"/>
            <w:tcMar>
              <w:top w:w="90" w:type="dxa"/>
              <w:start w:w="90" w:type="dxa"/>
              <w:bottom w:w="90" w:type="dxa"/>
              <w:end w:w="90" w:type="dxa"/>
            </w:tcMar>
            <w:shd w:fill="F7FAFC"/>
          </w:tcPr>
          <w:p>
            <w:pPr>
              <w:jc w:val="left"/>
            </w:pPr>
            <w:r/>
            <w:r>
              <w:rPr>
                <w:b w:val="0"/>
                <w:color w:val="1F2937"/>
                <w:sz w:val="16"/>
              </w:rPr>
              <w:t>Accuracy</w:t>
            </w:r>
          </w:p>
        </w:tc>
        <w:tc>
          <w:tcPr>
            <w:tcW w:type="dxa" w:w="4896"/>
            <w:vAlign w:val="center"/>
            <w:tcMar>
              <w:top w:w="90" w:type="dxa"/>
              <w:start w:w="90" w:type="dxa"/>
              <w:bottom w:w="90" w:type="dxa"/>
              <w:end w:w="90" w:type="dxa"/>
            </w:tcMar>
            <w:shd w:fill="F7FAFC"/>
          </w:tcPr>
          <w:p>
            <w:pPr>
              <w:jc w:val="left"/>
            </w:pPr>
            <w:r/>
            <w:r>
              <w:rPr>
                <w:b w:val="0"/>
                <w:color w:val="1F2937"/>
                <w:sz w:val="16"/>
              </w:rPr>
              <w:t>Current Q1 FY27 controls use issuer-reported figures. Historical structured extraction remains a reconciliation layer.</w:t>
            </w:r>
          </w:p>
        </w:tc>
        <w:tc>
          <w:tcPr>
            <w:tcW w:type="dxa" w:w="3888"/>
            <w:vAlign w:val="center"/>
            <w:tcMar>
              <w:top w:w="90" w:type="dxa"/>
              <w:start w:w="90" w:type="dxa"/>
              <w:bottom w:w="90" w:type="dxa"/>
              <w:end w:w="90" w:type="dxa"/>
            </w:tcMar>
            <w:shd w:fill="F7FAFC"/>
          </w:tcPr>
          <w:p>
            <w:pPr>
              <w:jc w:val="left"/>
            </w:pPr>
            <w:r/>
            <w:r>
              <w:rPr>
                <w:b w:val="0"/>
                <w:color w:val="1F2937"/>
                <w:sz w:val="16"/>
              </w:rPr>
              <w:t>Do not present secondary values as independently audited facts.</w:t>
            </w:r>
          </w:p>
        </w:tc>
      </w:tr>
      <w:tr>
        <w:tc>
          <w:tcPr>
            <w:tcW w:type="dxa" w:w="1440"/>
            <w:vAlign w:val="center"/>
            <w:tcMar>
              <w:top w:w="90" w:type="dxa"/>
              <w:start w:w="90" w:type="dxa"/>
              <w:bottom w:w="90" w:type="dxa"/>
              <w:end w:w="90" w:type="dxa"/>
            </w:tcMar>
          </w:tcPr>
          <w:p>
            <w:pPr>
              <w:jc w:val="left"/>
            </w:pPr>
            <w:r/>
            <w:r>
              <w:rPr>
                <w:b w:val="0"/>
                <w:color w:val="1F2937"/>
                <w:sz w:val="16"/>
              </w:rPr>
              <w:t>Completeness</w:t>
            </w:r>
          </w:p>
        </w:tc>
        <w:tc>
          <w:tcPr>
            <w:tcW w:type="dxa" w:w="4896"/>
            <w:vAlign w:val="center"/>
            <w:tcMar>
              <w:top w:w="90" w:type="dxa"/>
              <w:start w:w="90" w:type="dxa"/>
              <w:bottom w:w="90" w:type="dxa"/>
              <w:end w:w="90" w:type="dxa"/>
            </w:tcMar>
          </w:tcPr>
          <w:p>
            <w:pPr>
              <w:jc w:val="left"/>
            </w:pPr>
            <w:r/>
            <w:r>
              <w:rPr>
                <w:b w:val="0"/>
                <w:color w:val="1F2937"/>
                <w:sz w:val="16"/>
              </w:rPr>
              <w:t>Core panel has complete revenue/profit observations for the chosen 13-quarter window.</w:t>
            </w:r>
          </w:p>
        </w:tc>
        <w:tc>
          <w:tcPr>
            <w:tcW w:type="dxa" w:w="3888"/>
            <w:vAlign w:val="center"/>
            <w:tcMar>
              <w:top w:w="90" w:type="dxa"/>
              <w:start w:w="90" w:type="dxa"/>
              <w:bottom w:w="90" w:type="dxa"/>
              <w:end w:w="90" w:type="dxa"/>
            </w:tcMar>
          </w:tcPr>
          <w:p>
            <w:pPr>
              <w:jc w:val="left"/>
            </w:pPr>
            <w:r/>
            <w:r>
              <w:rPr>
                <w:b w:val="0"/>
                <w:color w:val="1F2937"/>
                <w:sz w:val="16"/>
              </w:rPr>
              <w:t>Suitable for a consistent base series.</w:t>
            </w:r>
          </w:p>
        </w:tc>
      </w:tr>
      <w:tr>
        <w:tc>
          <w:tcPr>
            <w:tcW w:type="dxa" w:w="1440"/>
            <w:vAlign w:val="center"/>
            <w:tcMar>
              <w:top w:w="90" w:type="dxa"/>
              <w:start w:w="90" w:type="dxa"/>
              <w:bottom w:w="90" w:type="dxa"/>
              <w:end w:w="90" w:type="dxa"/>
            </w:tcMar>
            <w:shd w:fill="F7FAFC"/>
          </w:tcPr>
          <w:p>
            <w:pPr>
              <w:jc w:val="left"/>
            </w:pPr>
            <w:r/>
            <w:r>
              <w:rPr>
                <w:b w:val="0"/>
                <w:color w:val="1F2937"/>
                <w:sz w:val="16"/>
              </w:rPr>
              <w:t>Consistency</w:t>
            </w:r>
          </w:p>
        </w:tc>
        <w:tc>
          <w:tcPr>
            <w:tcW w:type="dxa" w:w="4896"/>
            <w:vAlign w:val="center"/>
            <w:tcMar>
              <w:top w:w="90" w:type="dxa"/>
              <w:start w:w="90" w:type="dxa"/>
              <w:bottom w:w="90" w:type="dxa"/>
              <w:end w:w="90" w:type="dxa"/>
            </w:tcMar>
            <w:shd w:fill="F7FAFC"/>
          </w:tcPr>
          <w:p>
            <w:pPr>
              <w:jc w:val="left"/>
            </w:pPr>
            <w:r/>
            <w:r>
              <w:rPr>
                <w:b w:val="0"/>
                <w:color w:val="1F2937"/>
                <w:sz w:val="16"/>
              </w:rPr>
              <w:t>Units and fiscal labels are normalized; reporting-basis caveats are retained.</w:t>
            </w:r>
          </w:p>
        </w:tc>
        <w:tc>
          <w:tcPr>
            <w:tcW w:type="dxa" w:w="3888"/>
            <w:vAlign w:val="center"/>
            <w:tcMar>
              <w:top w:w="90" w:type="dxa"/>
              <w:start w:w="90" w:type="dxa"/>
              <w:bottom w:w="90" w:type="dxa"/>
              <w:end w:w="90" w:type="dxa"/>
            </w:tcMar>
            <w:shd w:fill="F7FAFC"/>
          </w:tcPr>
          <w:p>
            <w:pPr>
              <w:jc w:val="left"/>
            </w:pPr>
            <w:r/>
            <w:r>
              <w:rPr>
                <w:b w:val="0"/>
                <w:color w:val="1F2937"/>
                <w:sz w:val="16"/>
              </w:rPr>
              <w:t>Peer comparisons become more defensible.</w:t>
            </w:r>
          </w:p>
        </w:tc>
      </w:tr>
      <w:tr>
        <w:tc>
          <w:tcPr>
            <w:tcW w:type="dxa" w:w="1440"/>
            <w:vAlign w:val="center"/>
            <w:tcMar>
              <w:top w:w="90" w:type="dxa"/>
              <w:start w:w="90" w:type="dxa"/>
              <w:bottom w:w="90" w:type="dxa"/>
              <w:end w:w="90" w:type="dxa"/>
            </w:tcMar>
          </w:tcPr>
          <w:p>
            <w:pPr>
              <w:jc w:val="left"/>
            </w:pPr>
            <w:r/>
            <w:r>
              <w:rPr>
                <w:b w:val="0"/>
                <w:color w:val="1F2937"/>
                <w:sz w:val="16"/>
              </w:rPr>
              <w:t>Traceability</w:t>
            </w:r>
          </w:p>
        </w:tc>
        <w:tc>
          <w:tcPr>
            <w:tcW w:type="dxa" w:w="4896"/>
            <w:vAlign w:val="center"/>
            <w:tcMar>
              <w:top w:w="90" w:type="dxa"/>
              <w:start w:w="90" w:type="dxa"/>
              <w:bottom w:w="90" w:type="dxa"/>
              <w:end w:w="90" w:type="dxa"/>
            </w:tcMar>
          </w:tcPr>
          <w:p>
            <w:pPr>
              <w:jc w:val="left"/>
            </w:pPr>
            <w:r/>
            <w:r>
              <w:rPr>
                <w:b w:val="0"/>
                <w:color w:val="1F2937"/>
                <w:sz w:val="16"/>
              </w:rPr>
              <w:t>Source URLs and source-status fields accompany observations in the workbook.</w:t>
            </w:r>
          </w:p>
        </w:tc>
        <w:tc>
          <w:tcPr>
            <w:tcW w:type="dxa" w:w="3888"/>
            <w:vAlign w:val="center"/>
            <w:tcMar>
              <w:top w:w="90" w:type="dxa"/>
              <w:start w:w="90" w:type="dxa"/>
              <w:bottom w:w="90" w:type="dxa"/>
              <w:end w:w="90" w:type="dxa"/>
            </w:tcMar>
          </w:tcPr>
          <w:p>
            <w:pPr>
              <w:jc w:val="left"/>
            </w:pPr>
            <w:r/>
            <w:r>
              <w:rPr>
                <w:b w:val="0"/>
                <w:color w:val="1F2937"/>
                <w:sz w:val="16"/>
              </w:rPr>
              <w:t>Every material figure can be followed back to evidence.</w:t>
            </w:r>
          </w:p>
        </w:tc>
      </w:tr>
      <w:tr>
        <w:tc>
          <w:tcPr>
            <w:tcW w:type="dxa" w:w="1440"/>
            <w:vAlign w:val="center"/>
            <w:tcMar>
              <w:top w:w="90" w:type="dxa"/>
              <w:start w:w="90" w:type="dxa"/>
              <w:bottom w:w="90" w:type="dxa"/>
              <w:end w:w="90" w:type="dxa"/>
            </w:tcMar>
            <w:shd w:fill="F7FAFC"/>
          </w:tcPr>
          <w:p>
            <w:pPr>
              <w:jc w:val="left"/>
            </w:pPr>
            <w:r/>
            <w:r>
              <w:rPr>
                <w:b w:val="0"/>
                <w:color w:val="1F2937"/>
                <w:sz w:val="16"/>
              </w:rPr>
              <w:t>Timeliness</w:t>
            </w:r>
          </w:p>
        </w:tc>
        <w:tc>
          <w:tcPr>
            <w:tcW w:type="dxa" w:w="4896"/>
            <w:vAlign w:val="center"/>
            <w:tcMar>
              <w:top w:w="90" w:type="dxa"/>
              <w:start w:w="90" w:type="dxa"/>
              <w:bottom w:w="90" w:type="dxa"/>
              <w:end w:w="90" w:type="dxa"/>
            </w:tcMar>
            <w:shd w:fill="F7FAFC"/>
          </w:tcPr>
          <w:p>
            <w:pPr>
              <w:jc w:val="left"/>
            </w:pPr>
            <w:r/>
            <w:r>
              <w:rPr>
                <w:b w:val="0"/>
                <w:color w:val="1F2937"/>
                <w:sz w:val="16"/>
              </w:rPr>
              <w:t>Q1 FY27 values are current to the stated cut-off.</w:t>
            </w:r>
          </w:p>
        </w:tc>
        <w:tc>
          <w:tcPr>
            <w:tcW w:type="dxa" w:w="3888"/>
            <w:vAlign w:val="center"/>
            <w:tcMar>
              <w:top w:w="90" w:type="dxa"/>
              <w:start w:w="90" w:type="dxa"/>
              <w:bottom w:w="90" w:type="dxa"/>
              <w:end w:w="90" w:type="dxa"/>
            </w:tcMar>
            <w:shd w:fill="F7FAFC"/>
          </w:tcPr>
          <w:p>
            <w:pPr>
              <w:jc w:val="left"/>
            </w:pPr>
            <w:r/>
            <w:r>
              <w:rPr>
                <w:b w:val="0"/>
                <w:color w:val="1F2937"/>
                <w:sz w:val="16"/>
              </w:rPr>
              <w:t>Supports later short-horizon analysis without mixing future information.</w:t>
            </w:r>
          </w:p>
        </w:tc>
      </w:tr>
    </w:tbl>
    <w:p>
      <w:pPr>
        <w:pStyle w:val="Heading1"/>
      </w:pPr>
      <w:r>
        <w:t>6. Challenges Encountered and Mitigation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tcMar>
              <w:top w:w="90" w:type="dxa"/>
              <w:start w:w="90" w:type="dxa"/>
              <w:bottom w:w="90" w:type="dxa"/>
              <w:end w:w="90" w:type="dxa"/>
            </w:tcMar>
            <w:shd w:fill="17365D"/>
          </w:tcPr>
          <w:p>
            <w:pPr>
              <w:jc w:val="center"/>
            </w:pPr>
            <w:r/>
            <w:r>
              <w:rPr>
                <w:b/>
                <w:color w:val="FFFFFF"/>
                <w:sz w:val="16"/>
              </w:rPr>
              <w:t>Challenge</w:t>
            </w:r>
          </w:p>
        </w:tc>
        <w:tc>
          <w:tcPr>
            <w:tcW w:type="dxa" w:w="3528"/>
            <w:vAlign w:val="center"/>
            <w:tcMar>
              <w:top w:w="90" w:type="dxa"/>
              <w:start w:w="90" w:type="dxa"/>
              <w:bottom w:w="90" w:type="dxa"/>
              <w:end w:w="90" w:type="dxa"/>
            </w:tcMar>
            <w:shd w:fill="17365D"/>
          </w:tcPr>
          <w:p>
            <w:pPr>
              <w:jc w:val="center"/>
            </w:pPr>
            <w:r/>
            <w:r>
              <w:rPr>
                <w:b/>
                <w:color w:val="FFFFFF"/>
                <w:sz w:val="16"/>
              </w:rPr>
              <w:t>Observed issue</w:t>
            </w:r>
          </w:p>
        </w:tc>
        <w:tc>
          <w:tcPr>
            <w:tcW w:type="dxa" w:w="4536"/>
            <w:vAlign w:val="center"/>
            <w:tcMar>
              <w:top w:w="90" w:type="dxa"/>
              <w:start w:w="90" w:type="dxa"/>
              <w:bottom w:w="90" w:type="dxa"/>
              <w:end w:w="90" w:type="dxa"/>
            </w:tcMar>
            <w:shd w:fill="17365D"/>
          </w:tcPr>
          <w:p>
            <w:pPr>
              <w:jc w:val="center"/>
            </w:pPr>
            <w:r/>
            <w:r>
              <w:rPr>
                <w:b/>
                <w:color w:val="FFFFFF"/>
                <w:sz w:val="16"/>
              </w:rPr>
              <w:t>Mitigation / analyst decision</w:t>
            </w:r>
          </w:p>
        </w:tc>
      </w:tr>
      <w:tr>
        <w:tc>
          <w:tcPr>
            <w:tcW w:type="dxa" w:w="2160"/>
            <w:vAlign w:val="center"/>
            <w:tcMar>
              <w:top w:w="90" w:type="dxa"/>
              <w:start w:w="90" w:type="dxa"/>
              <w:bottom w:w="90" w:type="dxa"/>
              <w:end w:w="90" w:type="dxa"/>
            </w:tcMar>
            <w:shd w:fill="F7FAFC"/>
          </w:tcPr>
          <w:p>
            <w:pPr>
              <w:jc w:val="left"/>
            </w:pPr>
            <w:r/>
            <w:r>
              <w:rPr>
                <w:b w:val="0"/>
                <w:color w:val="1F2937"/>
                <w:sz w:val="16"/>
              </w:rPr>
              <w:t>Conflicting figures</w:t>
            </w:r>
          </w:p>
        </w:tc>
        <w:tc>
          <w:tcPr>
            <w:tcW w:type="dxa" w:w="3528"/>
            <w:vAlign w:val="center"/>
            <w:tcMar>
              <w:top w:w="90" w:type="dxa"/>
              <w:start w:w="90" w:type="dxa"/>
              <w:bottom w:w="90" w:type="dxa"/>
              <w:end w:w="90" w:type="dxa"/>
            </w:tcMar>
            <w:shd w:fill="F7FAFC"/>
          </w:tcPr>
          <w:p>
            <w:pPr>
              <w:jc w:val="left"/>
            </w:pPr>
            <w:r/>
            <w:r>
              <w:rPr>
                <w:b w:val="0"/>
                <w:color w:val="1F2937"/>
                <w:sz w:val="16"/>
              </w:rPr>
              <w:t>Small differences appear between structured summaries and issuer Q1 FY27 results.</w:t>
            </w:r>
          </w:p>
        </w:tc>
        <w:tc>
          <w:tcPr>
            <w:tcW w:type="dxa" w:w="4536"/>
            <w:vAlign w:val="center"/>
            <w:tcMar>
              <w:top w:w="90" w:type="dxa"/>
              <w:start w:w="90" w:type="dxa"/>
              <w:bottom w:w="90" w:type="dxa"/>
              <w:end w:w="90" w:type="dxa"/>
            </w:tcMar>
            <w:shd w:fill="F7FAFC"/>
          </w:tcPr>
          <w:p>
            <w:pPr>
              <w:jc w:val="left"/>
            </w:pPr>
            <w:r/>
            <w:r>
              <w:rPr>
                <w:b w:val="0"/>
                <w:color w:val="1F2937"/>
                <w:sz w:val="16"/>
              </w:rPr>
              <w:t>Current issuer value governs the KPI snapshot; discrepancy remains visible in QA.</w:t>
            </w:r>
          </w:p>
        </w:tc>
      </w:tr>
      <w:tr>
        <w:tc>
          <w:tcPr>
            <w:tcW w:type="dxa" w:w="2160"/>
            <w:vAlign w:val="center"/>
            <w:tcMar>
              <w:top w:w="90" w:type="dxa"/>
              <w:start w:w="90" w:type="dxa"/>
              <w:bottom w:w="90" w:type="dxa"/>
              <w:end w:w="90" w:type="dxa"/>
            </w:tcMar>
          </w:tcPr>
          <w:p>
            <w:pPr>
              <w:jc w:val="left"/>
            </w:pPr>
            <w:r/>
            <w:r>
              <w:rPr>
                <w:b w:val="0"/>
                <w:color w:val="1F2937"/>
                <w:sz w:val="16"/>
              </w:rPr>
              <w:t>Different bases</w:t>
            </w:r>
          </w:p>
        </w:tc>
        <w:tc>
          <w:tcPr>
            <w:tcW w:type="dxa" w:w="3528"/>
            <w:vAlign w:val="center"/>
            <w:tcMar>
              <w:top w:w="90" w:type="dxa"/>
              <w:start w:w="90" w:type="dxa"/>
              <w:bottom w:w="90" w:type="dxa"/>
              <w:end w:w="90" w:type="dxa"/>
            </w:tcMar>
          </w:tcPr>
          <w:p>
            <w:pPr>
              <w:jc w:val="left"/>
            </w:pPr>
            <w:r/>
            <w:r>
              <w:rPr>
                <w:b w:val="0"/>
                <w:color w:val="1F2937"/>
                <w:sz w:val="16"/>
              </w:rPr>
              <w:t>Wipro’s margin is IT-services; other peers may present consolidated or segment metrics differently.</w:t>
            </w:r>
          </w:p>
        </w:tc>
        <w:tc>
          <w:tcPr>
            <w:tcW w:type="dxa" w:w="4536"/>
            <w:vAlign w:val="center"/>
            <w:tcMar>
              <w:top w:w="90" w:type="dxa"/>
              <w:start w:w="90" w:type="dxa"/>
              <w:bottom w:w="90" w:type="dxa"/>
              <w:end w:w="90" w:type="dxa"/>
            </w:tcMar>
          </w:tcPr>
          <w:p>
            <w:pPr>
              <w:jc w:val="left"/>
            </w:pPr>
            <w:r/>
            <w:r>
              <w:rPr>
                <w:b w:val="0"/>
                <w:color w:val="1F2937"/>
                <w:sz w:val="16"/>
              </w:rPr>
              <w:t>Basis is written into field names/notes and carried into visualization labels.</w:t>
            </w:r>
          </w:p>
        </w:tc>
      </w:tr>
      <w:tr>
        <w:tc>
          <w:tcPr>
            <w:tcW w:type="dxa" w:w="2160"/>
            <w:vAlign w:val="center"/>
            <w:tcMar>
              <w:top w:w="90" w:type="dxa"/>
              <w:start w:w="90" w:type="dxa"/>
              <w:bottom w:w="90" w:type="dxa"/>
              <w:end w:w="90" w:type="dxa"/>
            </w:tcMar>
            <w:shd w:fill="F7FAFC"/>
          </w:tcPr>
          <w:p>
            <w:pPr>
              <w:jc w:val="left"/>
            </w:pPr>
            <w:r/>
            <w:r>
              <w:rPr>
                <w:b w:val="0"/>
                <w:color w:val="1F2937"/>
                <w:sz w:val="16"/>
              </w:rPr>
              <w:t>Historical source fragmentation</w:t>
            </w:r>
          </w:p>
        </w:tc>
        <w:tc>
          <w:tcPr>
            <w:tcW w:type="dxa" w:w="3528"/>
            <w:vAlign w:val="center"/>
            <w:tcMar>
              <w:top w:w="90" w:type="dxa"/>
              <w:start w:w="90" w:type="dxa"/>
              <w:bottom w:w="90" w:type="dxa"/>
              <w:end w:w="90" w:type="dxa"/>
            </w:tcMar>
            <w:shd w:fill="F7FAFC"/>
          </w:tcPr>
          <w:p>
            <w:pPr>
              <w:jc w:val="left"/>
            </w:pPr>
            <w:r/>
            <w:r>
              <w:rPr>
                <w:b w:val="0"/>
                <w:color w:val="1F2937"/>
                <w:sz w:val="16"/>
              </w:rPr>
              <w:t>Issuer archives are spread across results pages, fact sheets and filings.</w:t>
            </w:r>
          </w:p>
        </w:tc>
        <w:tc>
          <w:tcPr>
            <w:tcW w:type="dxa" w:w="4536"/>
            <w:vAlign w:val="center"/>
            <w:tcMar>
              <w:top w:w="90" w:type="dxa"/>
              <w:start w:w="90" w:type="dxa"/>
              <w:bottom w:w="90" w:type="dxa"/>
              <w:end w:w="90" w:type="dxa"/>
            </w:tcMar>
            <w:shd w:fill="F7FAFC"/>
          </w:tcPr>
          <w:p>
            <w:pPr>
              <w:jc w:val="left"/>
            </w:pPr>
            <w:r/>
            <w:r>
              <w:rPr>
                <w:b w:val="0"/>
                <w:color w:val="1F2937"/>
                <w:sz w:val="16"/>
              </w:rPr>
              <w:t>Use a source log and a secondary structured extraction layer for historical panel construction, then perform targeted primary reconciliation.</w:t>
            </w:r>
          </w:p>
        </w:tc>
      </w:tr>
      <w:tr>
        <w:tc>
          <w:tcPr>
            <w:tcW w:type="dxa" w:w="2160"/>
            <w:vAlign w:val="center"/>
            <w:tcMar>
              <w:top w:w="90" w:type="dxa"/>
              <w:start w:w="90" w:type="dxa"/>
              <w:bottom w:w="90" w:type="dxa"/>
              <w:end w:w="90" w:type="dxa"/>
            </w:tcMar>
          </w:tcPr>
          <w:p>
            <w:pPr>
              <w:jc w:val="left"/>
            </w:pPr>
            <w:r/>
            <w:r>
              <w:rPr>
                <w:b w:val="0"/>
                <w:color w:val="1F2937"/>
                <w:sz w:val="16"/>
              </w:rPr>
              <w:t>Undisclosed exact metric</w:t>
            </w:r>
          </w:p>
        </w:tc>
        <w:tc>
          <w:tcPr>
            <w:tcW w:type="dxa" w:w="3528"/>
            <w:vAlign w:val="center"/>
            <w:tcMar>
              <w:top w:w="90" w:type="dxa"/>
              <w:start w:w="90" w:type="dxa"/>
              <w:bottom w:w="90" w:type="dxa"/>
              <w:end w:w="90" w:type="dxa"/>
            </w:tcMar>
          </w:tcPr>
          <w:p>
            <w:pPr>
              <w:jc w:val="left"/>
            </w:pPr>
            <w:r/>
            <w:r>
              <w:rPr>
                <w:b w:val="0"/>
                <w:color w:val="1F2937"/>
                <w:sz w:val="16"/>
              </w:rPr>
              <w:t>Exact Wipro headcount not captured in the current source pass.</w:t>
            </w:r>
          </w:p>
        </w:tc>
        <w:tc>
          <w:tcPr>
            <w:tcW w:type="dxa" w:w="4536"/>
            <w:vAlign w:val="center"/>
            <w:tcMar>
              <w:top w:w="90" w:type="dxa"/>
              <w:start w:w="90" w:type="dxa"/>
              <w:bottom w:w="90" w:type="dxa"/>
              <w:end w:w="90" w:type="dxa"/>
            </w:tcMar>
          </w:tcPr>
          <w:p>
            <w:pPr>
              <w:jc w:val="left"/>
            </w:pPr>
            <w:r/>
            <w:r>
              <w:rPr>
                <w:b w:val="0"/>
                <w:color w:val="1F2937"/>
                <w:sz w:val="16"/>
              </w:rPr>
              <w:t>Use NA/threshold notation rather than an invented number.</w:t>
            </w:r>
          </w:p>
        </w:tc>
      </w:tr>
      <w:tr>
        <w:tc>
          <w:tcPr>
            <w:tcW w:type="dxa" w:w="2160"/>
            <w:vAlign w:val="center"/>
            <w:tcMar>
              <w:top w:w="90" w:type="dxa"/>
              <w:start w:w="90" w:type="dxa"/>
              <w:bottom w:w="90" w:type="dxa"/>
              <w:end w:w="90" w:type="dxa"/>
            </w:tcMar>
            <w:shd w:fill="F7FAFC"/>
          </w:tcPr>
          <w:p>
            <w:pPr>
              <w:jc w:val="left"/>
            </w:pPr>
            <w:r/>
            <w:r>
              <w:rPr>
                <w:b w:val="0"/>
                <w:color w:val="1F2937"/>
                <w:sz w:val="16"/>
              </w:rPr>
              <w:t>Limited sample for forecasting</w:t>
            </w:r>
          </w:p>
        </w:tc>
        <w:tc>
          <w:tcPr>
            <w:tcW w:type="dxa" w:w="3528"/>
            <w:vAlign w:val="center"/>
            <w:tcMar>
              <w:top w:w="90" w:type="dxa"/>
              <w:start w:w="90" w:type="dxa"/>
              <w:bottom w:w="90" w:type="dxa"/>
              <w:end w:w="90" w:type="dxa"/>
            </w:tcMar>
            <w:shd w:fill="F7FAFC"/>
          </w:tcPr>
          <w:p>
            <w:pPr>
              <w:jc w:val="left"/>
            </w:pPr>
            <w:r/>
            <w:r>
              <w:rPr>
                <w:b w:val="0"/>
                <w:color w:val="1F2937"/>
                <w:sz w:val="16"/>
              </w:rPr>
              <w:t>13 common quarters is useful but not a large time-series sample.</w:t>
            </w:r>
          </w:p>
        </w:tc>
        <w:tc>
          <w:tcPr>
            <w:tcW w:type="dxa" w:w="4536"/>
            <w:vAlign w:val="center"/>
            <w:tcMar>
              <w:top w:w="90" w:type="dxa"/>
              <w:start w:w="90" w:type="dxa"/>
              <w:bottom w:w="90" w:type="dxa"/>
              <w:end w:w="90" w:type="dxa"/>
            </w:tcMar>
            <w:shd w:fill="F7FAFC"/>
          </w:tcPr>
          <w:p>
            <w:pPr>
              <w:jc w:val="left"/>
            </w:pPr>
            <w:r/>
            <w:r>
              <w:rPr>
                <w:b w:val="0"/>
                <w:color w:val="1F2937"/>
                <w:sz w:val="16"/>
              </w:rPr>
              <w:t>Use simple models, back-testing and error reporting in Week 4.</w:t>
            </w:r>
          </w:p>
        </w:tc>
      </w:tr>
      <w:tr>
        <w:tc>
          <w:tcPr>
            <w:tcW w:type="dxa" w:w="2160"/>
            <w:vAlign w:val="center"/>
            <w:tcMar>
              <w:top w:w="90" w:type="dxa"/>
              <w:start w:w="90" w:type="dxa"/>
              <w:bottom w:w="90" w:type="dxa"/>
              <w:end w:w="90" w:type="dxa"/>
            </w:tcMar>
          </w:tcPr>
          <w:p>
            <w:pPr>
              <w:jc w:val="left"/>
            </w:pPr>
            <w:r/>
            <w:r>
              <w:rPr>
                <w:b w:val="0"/>
                <w:color w:val="1F2937"/>
                <w:sz w:val="16"/>
              </w:rPr>
              <w:t>Fast-changing AI disclosures</w:t>
            </w:r>
          </w:p>
        </w:tc>
        <w:tc>
          <w:tcPr>
            <w:tcW w:type="dxa" w:w="3528"/>
            <w:vAlign w:val="center"/>
            <w:tcMar>
              <w:top w:w="90" w:type="dxa"/>
              <w:start w:w="90" w:type="dxa"/>
              <w:bottom w:w="90" w:type="dxa"/>
              <w:end w:w="90" w:type="dxa"/>
            </w:tcMar>
          </w:tcPr>
          <w:p>
            <w:pPr>
              <w:jc w:val="left"/>
            </w:pPr>
            <w:r/>
            <w:r>
              <w:rPr>
                <w:b w:val="0"/>
                <w:color w:val="1F2937"/>
                <w:sz w:val="16"/>
              </w:rPr>
              <w:t>AI revenue definitions differ by issuer.</w:t>
            </w:r>
          </w:p>
        </w:tc>
        <w:tc>
          <w:tcPr>
            <w:tcW w:type="dxa" w:w="4536"/>
            <w:vAlign w:val="center"/>
            <w:tcMar>
              <w:top w:w="90" w:type="dxa"/>
              <w:start w:w="90" w:type="dxa"/>
              <w:bottom w:w="90" w:type="dxa"/>
              <w:end w:w="90" w:type="dxa"/>
            </w:tcMar>
          </w:tcPr>
          <w:p>
            <w:pPr>
              <w:jc w:val="left"/>
            </w:pPr>
            <w:r/>
            <w:r>
              <w:rPr>
                <w:b w:val="0"/>
                <w:color w:val="1F2937"/>
                <w:sz w:val="16"/>
              </w:rPr>
              <w:t>Retain issuer terminology and avoid combining non-identical AI metrics without a definition check.</w:t>
            </w:r>
          </w:p>
        </w:tc>
      </w:tr>
    </w:tbl>
    <w:p>
      <w:pPr>
        <w:pStyle w:val="Heading1"/>
      </w:pPr>
      <w:r>
        <w:t>7. Analytical Hand-off Readiness</w:t>
      </w:r>
    </w:p>
    <w:p>
      <w:r>
        <w:t>A cleaned dataset is valuable only if its design supports the next questions. The Week 2 panel is therefore structured around the hypotheses from Week 1: growth must be separated from currency, profitability must be normalized, workforce measures must retain their definitions, and forward indicators such as TCV should not be treated as equivalent to recognized revenue.</w:t>
      </w:r>
    </w:p>
    <w:p>
      <w:r>
        <w:drawing>
          <wp:inline xmlns:a="http://schemas.openxmlformats.org/drawingml/2006/main" xmlns:pic="http://schemas.openxmlformats.org/drawingml/2006/picture">
            <wp:extent cx="6080760" cy="2742189"/>
            <wp:docPr id="3" name="Picture 3"/>
            <wp:cNvGraphicFramePr>
              <a:graphicFrameLocks noChangeAspect="1"/>
            </wp:cNvGraphicFramePr>
            <a:graphic>
              <a:graphicData uri="http://schemas.openxmlformats.org/drawingml/2006/picture">
                <pic:pic>
                  <pic:nvPicPr>
                    <pic:cNvPr id="0" name="week2_revenue_index.png"/>
                    <pic:cNvPicPr/>
                  </pic:nvPicPr>
                  <pic:blipFill>
                    <a:blip r:embed="rId13"/>
                    <a:stretch>
                      <a:fillRect/>
                    </a:stretch>
                  </pic:blipFill>
                  <pic:spPr>
                    <a:xfrm>
                      <a:off x="0" y="0"/>
                      <a:ext cx="6080760" cy="2742189"/>
                    </a:xfrm>
                    <a:prstGeom prst="rect"/>
                  </pic:spPr>
                </pic:pic>
              </a:graphicData>
            </a:graphic>
          </wp:inline>
        </w:drawing>
      </w:r>
    </w:p>
    <w:p>
      <w:pPr>
        <w:jc w:val="center"/>
      </w:pPr>
      <w:r>
        <w:rPr>
          <w:i/>
          <w:color w:val="667085"/>
          <w:sz w:val="17"/>
        </w:rPr>
        <w:t>Figure 3. Revenue trajectory index, Q1 FY24 = 100. The index removes company scale so the four quarterly paths can be visually compared.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vAlign w:val="center"/>
            <w:tcMar>
              <w:top w:w="90" w:type="dxa"/>
              <w:start w:w="90" w:type="dxa"/>
              <w:bottom w:w="90" w:type="dxa"/>
              <w:end w:w="90" w:type="dxa"/>
            </w:tcMar>
            <w:shd w:fill="17365D"/>
          </w:tcPr>
          <w:p>
            <w:pPr>
              <w:jc w:val="center"/>
            </w:pPr>
            <w:r/>
            <w:r>
              <w:rPr>
                <w:b/>
                <w:color w:val="FFFFFF"/>
                <w:sz w:val="16"/>
              </w:rPr>
              <w:t>Week 3 / 4 requirement</w:t>
            </w:r>
          </w:p>
        </w:tc>
        <w:tc>
          <w:tcPr>
            <w:tcW w:type="dxa" w:w="4176"/>
            <w:vAlign w:val="center"/>
            <w:tcMar>
              <w:top w:w="90" w:type="dxa"/>
              <w:start w:w="90" w:type="dxa"/>
              <w:bottom w:w="90" w:type="dxa"/>
              <w:end w:w="90" w:type="dxa"/>
            </w:tcMar>
            <w:shd w:fill="17365D"/>
          </w:tcPr>
          <w:p>
            <w:pPr>
              <w:jc w:val="center"/>
            </w:pPr>
            <w:r/>
            <w:r>
              <w:rPr>
                <w:b/>
                <w:color w:val="FFFFFF"/>
                <w:sz w:val="16"/>
              </w:rPr>
              <w:t>Week 2 hand-off field</w:t>
            </w:r>
          </w:p>
        </w:tc>
        <w:tc>
          <w:tcPr>
            <w:tcW w:type="dxa" w:w="2880"/>
            <w:vAlign w:val="center"/>
            <w:tcMar>
              <w:top w:w="90" w:type="dxa"/>
              <w:start w:w="90" w:type="dxa"/>
              <w:bottom w:w="90" w:type="dxa"/>
              <w:end w:w="90" w:type="dxa"/>
            </w:tcMar>
            <w:shd w:fill="17365D"/>
          </w:tcPr>
          <w:p>
            <w:pPr>
              <w:jc w:val="center"/>
            </w:pPr>
            <w:r/>
            <w:r>
              <w:rPr>
                <w:b/>
                <w:color w:val="FFFFFF"/>
                <w:sz w:val="16"/>
              </w:rPr>
              <w:t>Control carried forward</w:t>
            </w:r>
          </w:p>
        </w:tc>
      </w:tr>
      <w:tr>
        <w:tc>
          <w:tcPr>
            <w:tcW w:type="dxa" w:w="3168"/>
            <w:vAlign w:val="center"/>
            <w:tcMar>
              <w:top w:w="90" w:type="dxa"/>
              <w:start w:w="90" w:type="dxa"/>
              <w:bottom w:w="90" w:type="dxa"/>
              <w:end w:w="90" w:type="dxa"/>
            </w:tcMar>
            <w:shd w:fill="F7FAFC"/>
          </w:tcPr>
          <w:p>
            <w:pPr>
              <w:jc w:val="left"/>
            </w:pPr>
            <w:r/>
            <w:r>
              <w:rPr>
                <w:b w:val="0"/>
                <w:color w:val="1F2937"/>
                <w:sz w:val="16"/>
              </w:rPr>
              <w:t>Peer growth comparison</w:t>
            </w:r>
          </w:p>
        </w:tc>
        <w:tc>
          <w:tcPr>
            <w:tcW w:type="dxa" w:w="4176"/>
            <w:vAlign w:val="center"/>
            <w:tcMar>
              <w:top w:w="90" w:type="dxa"/>
              <w:start w:w="90" w:type="dxa"/>
              <w:bottom w:w="90" w:type="dxa"/>
              <w:end w:w="90" w:type="dxa"/>
            </w:tcMar>
            <w:shd w:fill="F7FAFC"/>
          </w:tcPr>
          <w:p>
            <w:pPr>
              <w:jc w:val="left"/>
            </w:pPr>
            <w:r/>
            <w:r>
              <w:rPr>
                <w:b w:val="0"/>
                <w:color w:val="1F2937"/>
                <w:sz w:val="16"/>
              </w:rPr>
              <w:t>Revenue + QoQ/YoY growth</w:t>
            </w:r>
          </w:p>
        </w:tc>
        <w:tc>
          <w:tcPr>
            <w:tcW w:type="dxa" w:w="2880"/>
            <w:vAlign w:val="center"/>
            <w:tcMar>
              <w:top w:w="90" w:type="dxa"/>
              <w:start w:w="90" w:type="dxa"/>
              <w:bottom w:w="90" w:type="dxa"/>
              <w:end w:w="90" w:type="dxa"/>
            </w:tcMar>
            <w:shd w:fill="F7FAFC"/>
          </w:tcPr>
          <w:p>
            <w:pPr>
              <w:jc w:val="left"/>
            </w:pPr>
            <w:r/>
            <w:r>
              <w:rPr>
                <w:b w:val="0"/>
                <w:color w:val="1F2937"/>
                <w:sz w:val="16"/>
              </w:rPr>
              <w:t>Check company basis and units</w:t>
            </w:r>
          </w:p>
        </w:tc>
      </w:tr>
      <w:tr>
        <w:tc>
          <w:tcPr>
            <w:tcW w:type="dxa" w:w="3168"/>
            <w:vAlign w:val="center"/>
            <w:tcMar>
              <w:top w:w="90" w:type="dxa"/>
              <w:start w:w="90" w:type="dxa"/>
              <w:bottom w:w="90" w:type="dxa"/>
              <w:end w:w="90" w:type="dxa"/>
            </w:tcMar>
          </w:tcPr>
          <w:p>
            <w:pPr>
              <w:jc w:val="left"/>
            </w:pPr>
            <w:r/>
            <w:r>
              <w:rPr>
                <w:b w:val="0"/>
                <w:color w:val="1F2937"/>
                <w:sz w:val="16"/>
              </w:rPr>
              <w:t>FX / constant-currency analysis</w:t>
            </w:r>
          </w:p>
        </w:tc>
        <w:tc>
          <w:tcPr>
            <w:tcW w:type="dxa" w:w="4176"/>
            <w:vAlign w:val="center"/>
            <w:tcMar>
              <w:top w:w="90" w:type="dxa"/>
              <w:start w:w="90" w:type="dxa"/>
              <w:bottom w:w="90" w:type="dxa"/>
              <w:end w:w="90" w:type="dxa"/>
            </w:tcMar>
          </w:tcPr>
          <w:p>
            <w:pPr>
              <w:jc w:val="left"/>
            </w:pPr>
            <w:r/>
            <w:r>
              <w:rPr>
                <w:b w:val="0"/>
                <w:color w:val="1F2937"/>
                <w:sz w:val="16"/>
              </w:rPr>
              <w:t>Current KPI CC growth + reported INR growth; source notes</w:t>
            </w:r>
          </w:p>
        </w:tc>
        <w:tc>
          <w:tcPr>
            <w:tcW w:type="dxa" w:w="2880"/>
            <w:vAlign w:val="center"/>
            <w:tcMar>
              <w:top w:w="90" w:type="dxa"/>
              <w:start w:w="90" w:type="dxa"/>
              <w:bottom w:w="90" w:type="dxa"/>
              <w:end w:w="90" w:type="dxa"/>
            </w:tcMar>
          </w:tcPr>
          <w:p>
            <w:pPr>
              <w:jc w:val="left"/>
            </w:pPr>
            <w:r/>
            <w:r>
              <w:rPr>
                <w:b w:val="0"/>
                <w:color w:val="1F2937"/>
                <w:sz w:val="16"/>
              </w:rPr>
              <w:t>Do not interpret INR growth alone</w:t>
            </w:r>
          </w:p>
        </w:tc>
      </w:tr>
      <w:tr>
        <w:tc>
          <w:tcPr>
            <w:tcW w:type="dxa" w:w="3168"/>
            <w:vAlign w:val="center"/>
            <w:tcMar>
              <w:top w:w="90" w:type="dxa"/>
              <w:start w:w="90" w:type="dxa"/>
              <w:bottom w:w="90" w:type="dxa"/>
              <w:end w:w="90" w:type="dxa"/>
            </w:tcMar>
            <w:shd w:fill="F7FAFC"/>
          </w:tcPr>
          <w:p>
            <w:pPr>
              <w:jc w:val="left"/>
            </w:pPr>
            <w:r/>
            <w:r>
              <w:rPr>
                <w:b w:val="0"/>
                <w:color w:val="1F2937"/>
                <w:sz w:val="16"/>
              </w:rPr>
              <w:t>Profitability benchmarking</w:t>
            </w:r>
          </w:p>
        </w:tc>
        <w:tc>
          <w:tcPr>
            <w:tcW w:type="dxa" w:w="4176"/>
            <w:vAlign w:val="center"/>
            <w:tcMar>
              <w:top w:w="90" w:type="dxa"/>
              <w:start w:w="90" w:type="dxa"/>
              <w:bottom w:w="90" w:type="dxa"/>
              <w:end w:w="90" w:type="dxa"/>
            </w:tcMar>
            <w:shd w:fill="F7FAFC"/>
          </w:tcPr>
          <w:p>
            <w:pPr>
              <w:jc w:val="left"/>
            </w:pPr>
            <w:r/>
            <w:r>
              <w:rPr>
                <w:b w:val="0"/>
                <w:color w:val="1F2937"/>
                <w:sz w:val="16"/>
              </w:rPr>
              <w:t>Operating margin + net margin</w:t>
            </w:r>
          </w:p>
        </w:tc>
        <w:tc>
          <w:tcPr>
            <w:tcW w:type="dxa" w:w="2880"/>
            <w:vAlign w:val="center"/>
            <w:tcMar>
              <w:top w:w="90" w:type="dxa"/>
              <w:start w:w="90" w:type="dxa"/>
              <w:bottom w:w="90" w:type="dxa"/>
              <w:end w:w="90" w:type="dxa"/>
            </w:tcMar>
            <w:shd w:fill="F7FAFC"/>
          </w:tcPr>
          <w:p>
            <w:pPr>
              <w:jc w:val="left"/>
            </w:pPr>
            <w:r/>
            <w:r>
              <w:rPr>
                <w:b w:val="0"/>
                <w:color w:val="1F2937"/>
                <w:sz w:val="16"/>
              </w:rPr>
              <w:t>Calculate from standardized inputs</w:t>
            </w:r>
          </w:p>
        </w:tc>
      </w:tr>
      <w:tr>
        <w:tc>
          <w:tcPr>
            <w:tcW w:type="dxa" w:w="3168"/>
            <w:vAlign w:val="center"/>
            <w:tcMar>
              <w:top w:w="90" w:type="dxa"/>
              <w:start w:w="90" w:type="dxa"/>
              <w:bottom w:w="90" w:type="dxa"/>
              <w:end w:w="90" w:type="dxa"/>
            </w:tcMar>
          </w:tcPr>
          <w:p>
            <w:pPr>
              <w:jc w:val="left"/>
            </w:pPr>
            <w:r/>
            <w:r>
              <w:rPr>
                <w:b w:val="0"/>
                <w:color w:val="1F2937"/>
                <w:sz w:val="16"/>
              </w:rPr>
              <w:t>Productivity</w:t>
            </w:r>
          </w:p>
        </w:tc>
        <w:tc>
          <w:tcPr>
            <w:tcW w:type="dxa" w:w="4176"/>
            <w:vAlign w:val="center"/>
            <w:tcMar>
              <w:top w:w="90" w:type="dxa"/>
              <w:start w:w="90" w:type="dxa"/>
              <w:bottom w:w="90" w:type="dxa"/>
              <w:end w:w="90" w:type="dxa"/>
            </w:tcMar>
          </w:tcPr>
          <w:p>
            <w:pPr>
              <w:jc w:val="left"/>
            </w:pPr>
            <w:r/>
            <w:r>
              <w:rPr>
                <w:b w:val="0"/>
                <w:color w:val="1F2937"/>
                <w:sz w:val="16"/>
              </w:rPr>
              <w:t>Headcount where disclosed</w:t>
            </w:r>
          </w:p>
        </w:tc>
        <w:tc>
          <w:tcPr>
            <w:tcW w:type="dxa" w:w="2880"/>
            <w:vAlign w:val="center"/>
            <w:tcMar>
              <w:top w:w="90" w:type="dxa"/>
              <w:start w:w="90" w:type="dxa"/>
              <w:bottom w:w="90" w:type="dxa"/>
              <w:end w:w="90" w:type="dxa"/>
            </w:tcMar>
          </w:tcPr>
          <w:p>
            <w:pPr>
              <w:jc w:val="left"/>
            </w:pPr>
            <w:r/>
            <w:r>
              <w:rPr>
                <w:b w:val="0"/>
                <w:color w:val="1F2937"/>
                <w:sz w:val="16"/>
              </w:rPr>
              <w:t>No inferred or fabricated headcount</w:t>
            </w:r>
          </w:p>
        </w:tc>
      </w:tr>
      <w:tr>
        <w:tc>
          <w:tcPr>
            <w:tcW w:type="dxa" w:w="3168"/>
            <w:vAlign w:val="center"/>
            <w:tcMar>
              <w:top w:w="90" w:type="dxa"/>
              <w:start w:w="90" w:type="dxa"/>
              <w:bottom w:w="90" w:type="dxa"/>
              <w:end w:w="90" w:type="dxa"/>
            </w:tcMar>
            <w:shd w:fill="F7FAFC"/>
          </w:tcPr>
          <w:p>
            <w:pPr>
              <w:jc w:val="left"/>
            </w:pPr>
            <w:r/>
            <w:r>
              <w:rPr>
                <w:b w:val="0"/>
                <w:color w:val="1F2937"/>
                <w:sz w:val="16"/>
              </w:rPr>
              <w:t>Forward indicators</w:t>
            </w:r>
          </w:p>
        </w:tc>
        <w:tc>
          <w:tcPr>
            <w:tcW w:type="dxa" w:w="4176"/>
            <w:vAlign w:val="center"/>
            <w:tcMar>
              <w:top w:w="90" w:type="dxa"/>
              <w:start w:w="90" w:type="dxa"/>
              <w:bottom w:w="90" w:type="dxa"/>
              <w:end w:w="90" w:type="dxa"/>
            </w:tcMar>
            <w:shd w:fill="F7FAFC"/>
          </w:tcPr>
          <w:p>
            <w:pPr>
              <w:jc w:val="left"/>
            </w:pPr>
            <w:r/>
            <w:r>
              <w:rPr>
                <w:b w:val="0"/>
                <w:color w:val="1F2937"/>
                <w:sz w:val="16"/>
              </w:rPr>
              <w:t>TCV / bookings / AI metrics in Current_KPIs</w:t>
            </w:r>
          </w:p>
        </w:tc>
        <w:tc>
          <w:tcPr>
            <w:tcW w:type="dxa" w:w="2880"/>
            <w:vAlign w:val="center"/>
            <w:tcMar>
              <w:top w:w="90" w:type="dxa"/>
              <w:start w:w="90" w:type="dxa"/>
              <w:bottom w:w="90" w:type="dxa"/>
              <w:end w:w="90" w:type="dxa"/>
            </w:tcMar>
            <w:shd w:fill="F7FAFC"/>
          </w:tcPr>
          <w:p>
            <w:pPr>
              <w:jc w:val="left"/>
            </w:pPr>
            <w:r/>
            <w:r>
              <w:rPr>
                <w:b w:val="0"/>
                <w:color w:val="1F2937"/>
                <w:sz w:val="16"/>
              </w:rPr>
              <w:t>Keep definitions company-specific</w:t>
            </w:r>
          </w:p>
        </w:tc>
      </w:tr>
      <w:tr>
        <w:tc>
          <w:tcPr>
            <w:tcW w:type="dxa" w:w="3168"/>
            <w:vAlign w:val="center"/>
            <w:tcMar>
              <w:top w:w="90" w:type="dxa"/>
              <w:start w:w="90" w:type="dxa"/>
              <w:bottom w:w="90" w:type="dxa"/>
              <w:end w:w="90" w:type="dxa"/>
            </w:tcMar>
          </w:tcPr>
          <w:p>
            <w:pPr>
              <w:jc w:val="left"/>
            </w:pPr>
            <w:r/>
            <w:r>
              <w:rPr>
                <w:b w:val="0"/>
                <w:color w:val="1F2937"/>
                <w:sz w:val="16"/>
              </w:rPr>
              <w:t>Forecasting</w:t>
            </w:r>
          </w:p>
        </w:tc>
        <w:tc>
          <w:tcPr>
            <w:tcW w:type="dxa" w:w="4176"/>
            <w:vAlign w:val="center"/>
            <w:tcMar>
              <w:top w:w="90" w:type="dxa"/>
              <w:start w:w="90" w:type="dxa"/>
              <w:bottom w:w="90" w:type="dxa"/>
              <w:end w:w="90" w:type="dxa"/>
            </w:tcMar>
          </w:tcPr>
          <w:p>
            <w:pPr>
              <w:jc w:val="left"/>
            </w:pPr>
            <w:r/>
            <w:r>
              <w:rPr>
                <w:b w:val="0"/>
                <w:color w:val="1F2937"/>
                <w:sz w:val="16"/>
              </w:rPr>
              <w:t>Revenue and margin time series</w:t>
            </w:r>
          </w:p>
        </w:tc>
        <w:tc>
          <w:tcPr>
            <w:tcW w:type="dxa" w:w="2880"/>
            <w:vAlign w:val="center"/>
            <w:tcMar>
              <w:top w:w="90" w:type="dxa"/>
              <w:start w:w="90" w:type="dxa"/>
              <w:bottom w:w="90" w:type="dxa"/>
              <w:end w:w="90" w:type="dxa"/>
            </w:tcMar>
          </w:tcPr>
          <w:p>
            <w:pPr>
              <w:jc w:val="left"/>
            </w:pPr>
            <w:r/>
            <w:r>
              <w:rPr>
                <w:b w:val="0"/>
                <w:color w:val="1F2937"/>
                <w:sz w:val="16"/>
              </w:rPr>
              <w:t>Use time-ordered split; compare against naive baseline</w:t>
            </w:r>
          </w:p>
        </w:tc>
      </w:tr>
    </w:tbl>
    <w:p>
      <w:pPr>
        <w:pStyle w:val="Heading1"/>
      </w:pPr>
      <w:r>
        <w:t>8. Critical Evaluation of the Data-Preparation Process</w:t>
      </w:r>
    </w:p>
    <w:p>
      <w:r>
        <w:rPr>
          <w:b/>
        </w:rPr>
        <w:t xml:space="preserve">What worked. </w:t>
      </w:r>
      <w:r>
        <w:t>The strongest part of the process is that it creates a deliberate separation between raw inputs, derived calculations and QA exceptions. This matters in financial analysis because an error in a single unit or period label can propagate through a growth rate, a margin comparison and eventually a forecast. The use of a dedicated source log also means the analysis can be repeated or audited instead of relying on analyst memory.</w:t>
      </w:r>
    </w:p>
    <w:p>
      <w:r>
        <w:rPr>
          <w:b/>
        </w:rPr>
        <w:t xml:space="preserve">What remains imperfect. </w:t>
      </w:r>
      <w:r>
        <w:t>The historical common panel is efficient and useful, but the structured extraction layer should not be mistaken for a substitute for issuer-level evidence. The next iteration should close the remaining primary-source reconciliation on older quarters before the Week 4 model is frozen. In addition, the peer set still contains reporting-basis differences and a limited observation count for forecasting. These are limitations of the information environment, not reasons to hide the uncertainty.</w:t>
      </w:r>
    </w:p>
    <w:p>
      <w:r>
        <w:rPr>
          <w:b/>
        </w:rPr>
        <w:t xml:space="preserve">Analytical lesson. </w:t>
      </w:r>
      <w:r>
        <w:t>The central lesson from Week 2 is that “clean” means more than no missing cells. A financially clean dataset is one in which units, periods, definitions, source lineage and exceptions are explicit. That principle will determine how the Week 3 visualizations are labelled and how the Week 4 model is evaluated.</w:t>
      </w:r>
    </w:p>
    <w:p>
      <w:pPr>
        <w:pStyle w:val="Heading1"/>
      </w:pPr>
      <w:r>
        <w:t>9. Conclusion and Recommendations for the Next Phase</w:t>
      </w:r>
    </w:p>
    <w:p>
      <w:r>
        <w:t>Week 2 establishes a defensible working foundation for the remaining analytical stages. The four-company panel now has a common 13-quarter structure, standardized core financial fields, reproducible derived metrics, source metadata and a visible reconciliation log. The latest quarter is separately checked against issuer reporting, while known limitations are carried forward instead of being suppressed.</w:t>
      </w:r>
    </w:p>
    <w:p>
      <w:pPr>
        <w:pStyle w:val="ListBullet"/>
        <w:spacing w:after="80"/>
      </w:pPr>
      <w:r>
        <w:t>Complete targeted primary-source reconciliation for the historical quarters used most heavily in Week 3 and Week 4.</w:t>
      </w:r>
    </w:p>
    <w:p>
      <w:pPr>
        <w:pStyle w:val="ListBullet"/>
        <w:spacing w:after="80"/>
      </w:pPr>
      <w:r>
        <w:t>In Week 3, present reported INR growth beside constant-currency growth and clearly annotate company-specific reporting bases.</w:t>
      </w:r>
    </w:p>
    <w:p>
      <w:pPr>
        <w:pStyle w:val="ListBullet"/>
        <w:spacing w:after="80"/>
      </w:pPr>
      <w:r>
        <w:t>In Week 4, keep the modelling sample small and transparent: benchmark against a naive method, use time-ordered back-testing and report forecast error rather than only a point estimate.</w:t>
      </w:r>
    </w:p>
    <w:p>
      <w:pPr>
        <w:pStyle w:val="ListBullet"/>
        <w:spacing w:after="80"/>
      </w:pPr>
      <w:r>
        <w:t>Maintain the Week 2 source log and QA sheet as living controls so later changes do not silently alter the analytical record.</w:t>
      </w:r>
    </w:p>
    <w:p>
      <w:pPr>
        <w:pStyle w:val="Heading1"/>
      </w:pPr>
      <w:r>
        <w:t>10. References and Source Register</w:t>
      </w:r>
    </w:p>
    <w:p>
      <w:pPr>
        <w:spacing w:after="60"/>
      </w:pPr>
      <w:r>
        <w:t xml:space="preserve">[1] TCS Investor Relations – Financial Statements — </w:t>
      </w:r>
      <w:hyperlink r:id="rId14">
        <w:r>
          <w:rPr>
            <w:color w:val="0563C1"/>
            <w:u w:val="single"/>
          </w:rPr>
          <w:t>https://www.tcs.com/investor-relations/financial-statements</w:t>
        </w:r>
      </w:hyperlink>
    </w:p>
    <w:p>
      <w:pPr>
        <w:spacing w:after="60"/>
      </w:pPr>
      <w:r>
        <w:t xml:space="preserve">[2] TCS – Q1 FY27 Financial Results (9 July 2026) — </w:t>
      </w:r>
      <w:hyperlink r:id="rId15">
        <w:r>
          <w:rPr>
            <w:color w:val="0563C1"/>
            <w:u w:val="single"/>
          </w:rPr>
          <w:t>https://www.tcs.com/who-we-are/newsroom/press-release/tcs-financial-results-q1-fy-2027</w:t>
        </w:r>
      </w:hyperlink>
    </w:p>
    <w:p>
      <w:pPr>
        <w:spacing w:after="60"/>
      </w:pPr>
      <w:r>
        <w:t xml:space="preserve">[3] TCS Investor FAQs – financial and employee information — </w:t>
      </w:r>
      <w:hyperlink r:id="rId16">
        <w:r>
          <w:rPr>
            <w:color w:val="0563C1"/>
            <w:u w:val="single"/>
          </w:rPr>
          <w:t>https://www.tcs.com/investor-relations/investor-faqs</w:t>
        </w:r>
      </w:hyperlink>
    </w:p>
    <w:p>
      <w:pPr>
        <w:spacing w:after="60"/>
      </w:pPr>
      <w:r>
        <w:t xml:space="preserve">[4] Infosys – Quarterly Results Archive — </w:t>
      </w:r>
      <w:hyperlink r:id="rId17">
        <w:r>
          <w:rPr>
            <w:color w:val="0563C1"/>
            <w:u w:val="single"/>
          </w:rPr>
          <w:t>https://www.infosys.com/investors/reports-filings/quarterly-results/</w:t>
        </w:r>
      </w:hyperlink>
    </w:p>
    <w:p>
      <w:pPr>
        <w:spacing w:after="60"/>
      </w:pPr>
      <w:r>
        <w:t xml:space="preserve">[5] Infosys – Q1 FY27 Financial Information (23 July 2026) — </w:t>
      </w:r>
      <w:hyperlink r:id="rId18">
        <w:r>
          <w:rPr>
            <w:color w:val="0563C1"/>
            <w:u w:val="single"/>
          </w:rPr>
          <w:t>https://www.infosys.com/investors/reports-filings/quarterly-results/2026-2027/q1.html</w:t>
        </w:r>
      </w:hyperlink>
    </w:p>
    <w:p>
      <w:pPr>
        <w:spacing w:after="60"/>
      </w:pPr>
      <w:r>
        <w:t xml:space="preserve">[6] Infosys – Financial Snapshot — </w:t>
      </w:r>
      <w:hyperlink r:id="rId19">
        <w:r>
          <w:rPr>
            <w:color w:val="0563C1"/>
            <w:u w:val="single"/>
          </w:rPr>
          <w:t>https://www.infosys.com/about/last-quarter.html</w:t>
        </w:r>
      </w:hyperlink>
    </w:p>
    <w:p>
      <w:pPr>
        <w:spacing w:after="60"/>
      </w:pPr>
      <w:r>
        <w:t xml:space="preserve">[7] HCLTech – Investor Relations / Q1 FY27 Performance — </w:t>
      </w:r>
      <w:hyperlink r:id="rId20">
        <w:r>
          <w:rPr>
            <w:color w:val="0563C1"/>
            <w:u w:val="single"/>
          </w:rPr>
          <w:t>https://www.hcltech.com/investor-relations</w:t>
        </w:r>
      </w:hyperlink>
    </w:p>
    <w:p>
      <w:pPr>
        <w:spacing w:after="60"/>
      </w:pPr>
      <w:r>
        <w:t xml:space="preserve">[8] HCLTech – Q1 FY27 Results (13 July 2026) — </w:t>
      </w:r>
      <w:hyperlink r:id="rId21">
        <w:r>
          <w:rPr>
            <w:color w:val="0563C1"/>
            <w:u w:val="single"/>
          </w:rPr>
          <w:t>https://www.hcltech.com/en-us/press-releases/hcltech-delivers-robust-q1-led-record-deal-bookings-24-billion</w:t>
        </w:r>
      </w:hyperlink>
    </w:p>
    <w:p>
      <w:pPr>
        <w:spacing w:after="60"/>
      </w:pPr>
      <w:r>
        <w:t xml:space="preserve">[9] Wipro – Q1 FY27 Results (16 July 2026) — </w:t>
      </w:r>
      <w:hyperlink r:id="rId22">
        <w:r>
          <w:rPr>
            <w:color w:val="0563C1"/>
            <w:u w:val="single"/>
          </w:rPr>
          <w:t>https://www.wipro.com/newsroom/press-releases/2026/wipro-announces-results-for-the-quarter-ended-june-30-2026/</w:t>
        </w:r>
      </w:hyperlink>
    </w:p>
    <w:p>
      <w:pPr>
        <w:spacing w:after="60"/>
      </w:pPr>
      <w:r>
        <w:t xml:space="preserve">[10] Wipro – Stock Exchange Filings Archive — </w:t>
      </w:r>
      <w:hyperlink r:id="rId23">
        <w:r>
          <w:rPr>
            <w:color w:val="0563C1"/>
            <w:u w:val="single"/>
          </w:rPr>
          <w:t>https://www.wipro.com/investors/corporate-governance/stock-exchange-filings/</w:t>
        </w:r>
      </w:hyperlink>
    </w:p>
    <w:p>
      <w:pPr>
        <w:spacing w:after="60"/>
      </w:pPr>
      <w:r>
        <w:t xml:space="preserve">[11] Screener – TCS consolidated — </w:t>
      </w:r>
      <w:hyperlink r:id="rId24">
        <w:r>
          <w:rPr>
            <w:color w:val="0563C1"/>
            <w:u w:val="single"/>
          </w:rPr>
          <w:t>https://www.screener.in/company/TCS/consolidated/</w:t>
        </w:r>
      </w:hyperlink>
    </w:p>
    <w:p>
      <w:pPr>
        <w:spacing w:after="60"/>
      </w:pPr>
      <w:r>
        <w:t xml:space="preserve">[12] Screener – Infosys consolidated — </w:t>
      </w:r>
      <w:hyperlink r:id="rId25">
        <w:r>
          <w:rPr>
            <w:color w:val="0563C1"/>
            <w:u w:val="single"/>
          </w:rPr>
          <w:t>https://www.screener.in/company/INFY/consolidated/</w:t>
        </w:r>
      </w:hyperlink>
    </w:p>
    <w:p>
      <w:pPr>
        <w:spacing w:after="60"/>
      </w:pPr>
      <w:r>
        <w:t xml:space="preserve">[13] Screener – HCLTech consolidated — </w:t>
      </w:r>
      <w:hyperlink r:id="rId26">
        <w:r>
          <w:rPr>
            <w:color w:val="0563C1"/>
            <w:u w:val="single"/>
          </w:rPr>
          <w:t>https://www.screener.in/company/HCLTECH/consolidated/</w:t>
        </w:r>
      </w:hyperlink>
    </w:p>
    <w:p>
      <w:pPr>
        <w:spacing w:after="60"/>
      </w:pPr>
      <w:r>
        <w:t xml:space="preserve">[14] Screener – Wipro consolidated — </w:t>
      </w:r>
      <w:hyperlink r:id="rId27">
        <w:r>
          <w:rPr>
            <w:color w:val="0563C1"/>
            <w:u w:val="single"/>
          </w:rPr>
          <w:t>https://www.screener.in/company/WIPRO/consolidated/</w:t>
        </w:r>
      </w:hyperlink>
    </w:p>
    <w:p>
      <w:pPr>
        <w:pStyle w:val="Note"/>
      </w:pPr>
      <w:r>
        <w:rPr>
          <w:i/>
          <w:color w:val="667085"/>
          <w:sz w:val="17"/>
        </w:rPr>
        <w:t>Source convention: issuer releases/filings are treated as primary. Screener is retained only as a structured public-data extraction and reconciliation layer. All data should be re-verified before any investment decision; this report is an educational internship simulation.</w:t>
      </w:r>
    </w:p>
    <w:p>
      <w:pPr>
        <w:pStyle w:val="Heading1"/>
      </w:pPr>
      <w:r>
        <w:t>Appendix A. Working Dataset Coverage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584"/>
            <w:vAlign w:val="center"/>
            <w:tcMar>
              <w:top w:w="90" w:type="dxa"/>
              <w:start w:w="90" w:type="dxa"/>
              <w:bottom w:w="90" w:type="dxa"/>
              <w:end w:w="90" w:type="dxa"/>
            </w:tcMar>
            <w:shd w:fill="17365D"/>
          </w:tcPr>
          <w:p>
            <w:pPr>
              <w:jc w:val="center"/>
            </w:pPr>
            <w:r/>
            <w:r>
              <w:rPr>
                <w:b/>
                <w:color w:val="FFFFFF"/>
                <w:sz w:val="16"/>
              </w:rPr>
              <w:t>Company</w:t>
            </w:r>
          </w:p>
        </w:tc>
        <w:tc>
          <w:tcPr>
            <w:tcW w:type="dxa" w:w="1440"/>
            <w:vAlign w:val="center"/>
            <w:tcMar>
              <w:top w:w="90" w:type="dxa"/>
              <w:start w:w="90" w:type="dxa"/>
              <w:bottom w:w="90" w:type="dxa"/>
              <w:end w:w="90" w:type="dxa"/>
            </w:tcMar>
            <w:shd w:fill="17365D"/>
          </w:tcPr>
          <w:p>
            <w:pPr>
              <w:jc w:val="center"/>
            </w:pPr>
            <w:r/>
            <w:r>
              <w:rPr>
                <w:b/>
                <w:color w:val="FFFFFF"/>
                <w:sz w:val="16"/>
              </w:rPr>
              <w:t>Quarters</w:t>
            </w:r>
          </w:p>
        </w:tc>
        <w:tc>
          <w:tcPr>
            <w:tcW w:type="dxa" w:w="1728"/>
            <w:vAlign w:val="center"/>
            <w:tcMar>
              <w:top w:w="90" w:type="dxa"/>
              <w:start w:w="90" w:type="dxa"/>
              <w:bottom w:w="90" w:type="dxa"/>
              <w:end w:w="90" w:type="dxa"/>
            </w:tcMar>
            <w:shd w:fill="17365D"/>
          </w:tcPr>
          <w:p>
            <w:pPr>
              <w:jc w:val="center"/>
            </w:pPr>
            <w:r/>
            <w:r>
              <w:rPr>
                <w:b/>
                <w:color w:val="FFFFFF"/>
                <w:sz w:val="16"/>
              </w:rPr>
              <w:t>Revenue observations</w:t>
            </w:r>
          </w:p>
        </w:tc>
        <w:tc>
          <w:tcPr>
            <w:tcW w:type="dxa" w:w="2232"/>
            <w:vAlign w:val="center"/>
            <w:tcMar>
              <w:top w:w="90" w:type="dxa"/>
              <w:start w:w="90" w:type="dxa"/>
              <w:bottom w:w="90" w:type="dxa"/>
              <w:end w:w="90" w:type="dxa"/>
            </w:tcMar>
            <w:shd w:fill="17365D"/>
          </w:tcPr>
          <w:p>
            <w:pPr>
              <w:jc w:val="center"/>
            </w:pPr>
            <w:r/>
            <w:r>
              <w:rPr>
                <w:b/>
                <w:color w:val="FFFFFF"/>
                <w:sz w:val="16"/>
              </w:rPr>
              <w:t>Operating profit observations</w:t>
            </w:r>
          </w:p>
        </w:tc>
        <w:tc>
          <w:tcPr>
            <w:tcW w:type="dxa" w:w="2016"/>
            <w:vAlign w:val="center"/>
            <w:tcMar>
              <w:top w:w="90" w:type="dxa"/>
              <w:start w:w="90" w:type="dxa"/>
              <w:bottom w:w="90" w:type="dxa"/>
              <w:end w:w="90" w:type="dxa"/>
            </w:tcMar>
            <w:shd w:fill="17365D"/>
          </w:tcPr>
          <w:p>
            <w:pPr>
              <w:jc w:val="center"/>
            </w:pPr>
            <w:r/>
            <w:r>
              <w:rPr>
                <w:b/>
                <w:color w:val="FFFFFF"/>
                <w:sz w:val="16"/>
              </w:rPr>
              <w:t>Net profit observations</w:t>
            </w:r>
          </w:p>
        </w:tc>
        <w:tc>
          <w:tcPr>
            <w:tcW w:type="dxa" w:w="3240"/>
            <w:vAlign w:val="center"/>
            <w:tcMar>
              <w:top w:w="90" w:type="dxa"/>
              <w:start w:w="90" w:type="dxa"/>
              <w:bottom w:w="90" w:type="dxa"/>
              <w:end w:w="90" w:type="dxa"/>
            </w:tcMar>
            <w:shd w:fill="17365D"/>
          </w:tcPr>
          <w:p>
            <w:pPr>
              <w:jc w:val="center"/>
            </w:pPr>
            <w:r/>
            <w:r>
              <w:rPr>
                <w:b/>
                <w:color w:val="FFFFFF"/>
                <w:sz w:val="16"/>
              </w:rPr>
              <w:t>Historical source layer</w:t>
            </w:r>
          </w:p>
        </w:tc>
      </w:tr>
      <w:tr>
        <w:tc>
          <w:tcPr>
            <w:tcW w:type="dxa" w:w="1584"/>
            <w:vAlign w:val="center"/>
            <w:tcMar>
              <w:top w:w="90" w:type="dxa"/>
              <w:start w:w="90" w:type="dxa"/>
              <w:bottom w:w="90" w:type="dxa"/>
              <w:end w:w="90" w:type="dxa"/>
            </w:tcMar>
            <w:shd w:fill="F7FAFC"/>
          </w:tcPr>
          <w:p>
            <w:pPr>
              <w:jc w:val="left"/>
            </w:pPr>
            <w:r/>
            <w:r>
              <w:rPr>
                <w:b w:val="0"/>
                <w:color w:val="1F2937"/>
                <w:sz w:val="16"/>
              </w:rPr>
              <w:t>TCS</w:t>
            </w:r>
          </w:p>
        </w:tc>
        <w:tc>
          <w:tcPr>
            <w:tcW w:type="dxa" w:w="1440"/>
            <w:vAlign w:val="center"/>
            <w:tcMar>
              <w:top w:w="90" w:type="dxa"/>
              <w:start w:w="90" w:type="dxa"/>
              <w:bottom w:w="90" w:type="dxa"/>
              <w:end w:w="90" w:type="dxa"/>
            </w:tcMar>
            <w:shd w:fill="F7FAFC"/>
          </w:tcPr>
          <w:p>
            <w:pPr>
              <w:jc w:val="left"/>
            </w:pPr>
            <w:r/>
            <w:r>
              <w:rPr>
                <w:b w:val="0"/>
                <w:color w:val="1F2937"/>
                <w:sz w:val="16"/>
              </w:rPr>
              <w:t>13</w:t>
            </w:r>
          </w:p>
        </w:tc>
        <w:tc>
          <w:tcPr>
            <w:tcW w:type="dxa" w:w="1728"/>
            <w:vAlign w:val="center"/>
            <w:tcMar>
              <w:top w:w="90" w:type="dxa"/>
              <w:start w:w="90" w:type="dxa"/>
              <w:bottom w:w="90" w:type="dxa"/>
              <w:end w:w="90" w:type="dxa"/>
            </w:tcMar>
            <w:shd w:fill="F7FAFC"/>
          </w:tcPr>
          <w:p>
            <w:pPr>
              <w:jc w:val="left"/>
            </w:pPr>
            <w:r/>
            <w:r>
              <w:rPr>
                <w:b w:val="0"/>
                <w:color w:val="1F2937"/>
                <w:sz w:val="16"/>
              </w:rPr>
              <w:t>13</w:t>
            </w:r>
          </w:p>
        </w:tc>
        <w:tc>
          <w:tcPr>
            <w:tcW w:type="dxa" w:w="2232"/>
            <w:vAlign w:val="center"/>
            <w:tcMar>
              <w:top w:w="90" w:type="dxa"/>
              <w:start w:w="90" w:type="dxa"/>
              <w:bottom w:w="90" w:type="dxa"/>
              <w:end w:w="90" w:type="dxa"/>
            </w:tcMar>
            <w:shd w:fill="F7FAFC"/>
          </w:tcPr>
          <w:p>
            <w:pPr>
              <w:jc w:val="left"/>
            </w:pPr>
            <w:r/>
            <w:r>
              <w:rPr>
                <w:b w:val="0"/>
                <w:color w:val="1F2937"/>
                <w:sz w:val="16"/>
              </w:rPr>
              <w:t>13</w:t>
            </w:r>
          </w:p>
        </w:tc>
        <w:tc>
          <w:tcPr>
            <w:tcW w:type="dxa" w:w="2016"/>
            <w:vAlign w:val="center"/>
            <w:tcMar>
              <w:top w:w="90" w:type="dxa"/>
              <w:start w:w="90" w:type="dxa"/>
              <w:bottom w:w="90" w:type="dxa"/>
              <w:end w:w="90" w:type="dxa"/>
            </w:tcMar>
            <w:shd w:fill="F7FAFC"/>
          </w:tcPr>
          <w:p>
            <w:pPr>
              <w:jc w:val="left"/>
            </w:pPr>
            <w:r/>
            <w:r>
              <w:rPr>
                <w:b w:val="0"/>
                <w:color w:val="1F2937"/>
                <w:sz w:val="16"/>
              </w:rPr>
              <w:t>13</w:t>
            </w:r>
          </w:p>
        </w:tc>
        <w:tc>
          <w:tcPr>
            <w:tcW w:type="dxa" w:w="3240"/>
            <w:vAlign w:val="center"/>
            <w:tcMar>
              <w:top w:w="90" w:type="dxa"/>
              <w:start w:w="90" w:type="dxa"/>
              <w:bottom w:w="90" w:type="dxa"/>
              <w:end w:w="90" w:type="dxa"/>
            </w:tcMar>
            <w:shd w:fill="F7FAFC"/>
          </w:tcPr>
          <w:p>
            <w:pPr>
              <w:jc w:val="left"/>
            </w:pPr>
            <w:r/>
            <w:r>
              <w:rPr>
                <w:b w:val="0"/>
                <w:color w:val="1F2937"/>
                <w:sz w:val="16"/>
              </w:rPr>
              <w:t>Structured extraction + issuer current-quarter validation</w:t>
            </w:r>
          </w:p>
        </w:tc>
      </w:tr>
      <w:tr>
        <w:tc>
          <w:tcPr>
            <w:tcW w:type="dxa" w:w="1584"/>
            <w:vAlign w:val="center"/>
            <w:tcMar>
              <w:top w:w="90" w:type="dxa"/>
              <w:start w:w="90" w:type="dxa"/>
              <w:bottom w:w="90" w:type="dxa"/>
              <w:end w:w="90" w:type="dxa"/>
            </w:tcMar>
          </w:tcPr>
          <w:p>
            <w:pPr>
              <w:jc w:val="left"/>
            </w:pPr>
            <w:r/>
            <w:r>
              <w:rPr>
                <w:b w:val="0"/>
                <w:color w:val="1F2937"/>
                <w:sz w:val="16"/>
              </w:rPr>
              <w:t>Infosys</w:t>
            </w:r>
          </w:p>
        </w:tc>
        <w:tc>
          <w:tcPr>
            <w:tcW w:type="dxa" w:w="1440"/>
            <w:vAlign w:val="center"/>
            <w:tcMar>
              <w:top w:w="90" w:type="dxa"/>
              <w:start w:w="90" w:type="dxa"/>
              <w:bottom w:w="90" w:type="dxa"/>
              <w:end w:w="90" w:type="dxa"/>
            </w:tcMar>
          </w:tcPr>
          <w:p>
            <w:pPr>
              <w:jc w:val="left"/>
            </w:pPr>
            <w:r/>
            <w:r>
              <w:rPr>
                <w:b w:val="0"/>
                <w:color w:val="1F2937"/>
                <w:sz w:val="16"/>
              </w:rPr>
              <w:t>13</w:t>
            </w:r>
          </w:p>
        </w:tc>
        <w:tc>
          <w:tcPr>
            <w:tcW w:type="dxa" w:w="1728"/>
            <w:vAlign w:val="center"/>
            <w:tcMar>
              <w:top w:w="90" w:type="dxa"/>
              <w:start w:w="90" w:type="dxa"/>
              <w:bottom w:w="90" w:type="dxa"/>
              <w:end w:w="90" w:type="dxa"/>
            </w:tcMar>
          </w:tcPr>
          <w:p>
            <w:pPr>
              <w:jc w:val="left"/>
            </w:pPr>
            <w:r/>
            <w:r>
              <w:rPr>
                <w:b w:val="0"/>
                <w:color w:val="1F2937"/>
                <w:sz w:val="16"/>
              </w:rPr>
              <w:t>13</w:t>
            </w:r>
          </w:p>
        </w:tc>
        <w:tc>
          <w:tcPr>
            <w:tcW w:type="dxa" w:w="2232"/>
            <w:vAlign w:val="center"/>
            <w:tcMar>
              <w:top w:w="90" w:type="dxa"/>
              <w:start w:w="90" w:type="dxa"/>
              <w:bottom w:w="90" w:type="dxa"/>
              <w:end w:w="90" w:type="dxa"/>
            </w:tcMar>
          </w:tcPr>
          <w:p>
            <w:pPr>
              <w:jc w:val="left"/>
            </w:pPr>
            <w:r/>
            <w:r>
              <w:rPr>
                <w:b w:val="0"/>
                <w:color w:val="1F2937"/>
                <w:sz w:val="16"/>
              </w:rPr>
              <w:t>13</w:t>
            </w:r>
          </w:p>
        </w:tc>
        <w:tc>
          <w:tcPr>
            <w:tcW w:type="dxa" w:w="2016"/>
            <w:vAlign w:val="center"/>
            <w:tcMar>
              <w:top w:w="90" w:type="dxa"/>
              <w:start w:w="90" w:type="dxa"/>
              <w:bottom w:w="90" w:type="dxa"/>
              <w:end w:w="90" w:type="dxa"/>
            </w:tcMar>
          </w:tcPr>
          <w:p>
            <w:pPr>
              <w:jc w:val="left"/>
            </w:pPr>
            <w:r/>
            <w:r>
              <w:rPr>
                <w:b w:val="0"/>
                <w:color w:val="1F2937"/>
                <w:sz w:val="16"/>
              </w:rPr>
              <w:t>13</w:t>
            </w:r>
          </w:p>
        </w:tc>
        <w:tc>
          <w:tcPr>
            <w:tcW w:type="dxa" w:w="3240"/>
            <w:vAlign w:val="center"/>
            <w:tcMar>
              <w:top w:w="90" w:type="dxa"/>
              <w:start w:w="90" w:type="dxa"/>
              <w:bottom w:w="90" w:type="dxa"/>
              <w:end w:w="90" w:type="dxa"/>
            </w:tcMar>
          </w:tcPr>
          <w:p>
            <w:pPr>
              <w:jc w:val="left"/>
            </w:pPr>
            <w:r/>
            <w:r>
              <w:rPr>
                <w:b w:val="0"/>
                <w:color w:val="1F2937"/>
                <w:sz w:val="16"/>
              </w:rPr>
              <w:t>Structured extraction + issuer current-quarter validation</w:t>
            </w:r>
          </w:p>
        </w:tc>
      </w:tr>
      <w:tr>
        <w:tc>
          <w:tcPr>
            <w:tcW w:type="dxa" w:w="1584"/>
            <w:vAlign w:val="center"/>
            <w:tcMar>
              <w:top w:w="90" w:type="dxa"/>
              <w:start w:w="90" w:type="dxa"/>
              <w:bottom w:w="90" w:type="dxa"/>
              <w:end w:w="90" w:type="dxa"/>
            </w:tcMar>
            <w:shd w:fill="F7FAFC"/>
          </w:tcPr>
          <w:p>
            <w:pPr>
              <w:jc w:val="left"/>
            </w:pPr>
            <w:r/>
            <w:r>
              <w:rPr>
                <w:b w:val="0"/>
                <w:color w:val="1F2937"/>
                <w:sz w:val="16"/>
              </w:rPr>
              <w:t>HCLTech</w:t>
            </w:r>
          </w:p>
        </w:tc>
        <w:tc>
          <w:tcPr>
            <w:tcW w:type="dxa" w:w="1440"/>
            <w:vAlign w:val="center"/>
            <w:tcMar>
              <w:top w:w="90" w:type="dxa"/>
              <w:start w:w="90" w:type="dxa"/>
              <w:bottom w:w="90" w:type="dxa"/>
              <w:end w:w="90" w:type="dxa"/>
            </w:tcMar>
            <w:shd w:fill="F7FAFC"/>
          </w:tcPr>
          <w:p>
            <w:pPr>
              <w:jc w:val="left"/>
            </w:pPr>
            <w:r/>
            <w:r>
              <w:rPr>
                <w:b w:val="0"/>
                <w:color w:val="1F2937"/>
                <w:sz w:val="16"/>
              </w:rPr>
              <w:t>13</w:t>
            </w:r>
          </w:p>
        </w:tc>
        <w:tc>
          <w:tcPr>
            <w:tcW w:type="dxa" w:w="1728"/>
            <w:vAlign w:val="center"/>
            <w:tcMar>
              <w:top w:w="90" w:type="dxa"/>
              <w:start w:w="90" w:type="dxa"/>
              <w:bottom w:w="90" w:type="dxa"/>
              <w:end w:w="90" w:type="dxa"/>
            </w:tcMar>
            <w:shd w:fill="F7FAFC"/>
          </w:tcPr>
          <w:p>
            <w:pPr>
              <w:jc w:val="left"/>
            </w:pPr>
            <w:r/>
            <w:r>
              <w:rPr>
                <w:b w:val="0"/>
                <w:color w:val="1F2937"/>
                <w:sz w:val="16"/>
              </w:rPr>
              <w:t>13</w:t>
            </w:r>
          </w:p>
        </w:tc>
        <w:tc>
          <w:tcPr>
            <w:tcW w:type="dxa" w:w="2232"/>
            <w:vAlign w:val="center"/>
            <w:tcMar>
              <w:top w:w="90" w:type="dxa"/>
              <w:start w:w="90" w:type="dxa"/>
              <w:bottom w:w="90" w:type="dxa"/>
              <w:end w:w="90" w:type="dxa"/>
            </w:tcMar>
            <w:shd w:fill="F7FAFC"/>
          </w:tcPr>
          <w:p>
            <w:pPr>
              <w:jc w:val="left"/>
            </w:pPr>
            <w:r/>
            <w:r>
              <w:rPr>
                <w:b w:val="0"/>
                <w:color w:val="1F2937"/>
                <w:sz w:val="16"/>
              </w:rPr>
              <w:t>13</w:t>
            </w:r>
          </w:p>
        </w:tc>
        <w:tc>
          <w:tcPr>
            <w:tcW w:type="dxa" w:w="2016"/>
            <w:vAlign w:val="center"/>
            <w:tcMar>
              <w:top w:w="90" w:type="dxa"/>
              <w:start w:w="90" w:type="dxa"/>
              <w:bottom w:w="90" w:type="dxa"/>
              <w:end w:w="90" w:type="dxa"/>
            </w:tcMar>
            <w:shd w:fill="F7FAFC"/>
          </w:tcPr>
          <w:p>
            <w:pPr>
              <w:jc w:val="left"/>
            </w:pPr>
            <w:r/>
            <w:r>
              <w:rPr>
                <w:b w:val="0"/>
                <w:color w:val="1F2937"/>
                <w:sz w:val="16"/>
              </w:rPr>
              <w:t>13</w:t>
            </w:r>
          </w:p>
        </w:tc>
        <w:tc>
          <w:tcPr>
            <w:tcW w:type="dxa" w:w="3240"/>
            <w:vAlign w:val="center"/>
            <w:tcMar>
              <w:top w:w="90" w:type="dxa"/>
              <w:start w:w="90" w:type="dxa"/>
              <w:bottom w:w="90" w:type="dxa"/>
              <w:end w:w="90" w:type="dxa"/>
            </w:tcMar>
            <w:shd w:fill="F7FAFC"/>
          </w:tcPr>
          <w:p>
            <w:pPr>
              <w:jc w:val="left"/>
            </w:pPr>
            <w:r/>
            <w:r>
              <w:rPr>
                <w:b w:val="0"/>
                <w:color w:val="1F2937"/>
                <w:sz w:val="16"/>
              </w:rPr>
              <w:t>Structured extraction + issuer current-quarter validation</w:t>
            </w:r>
          </w:p>
        </w:tc>
      </w:tr>
      <w:tr>
        <w:tc>
          <w:tcPr>
            <w:tcW w:type="dxa" w:w="1584"/>
            <w:vAlign w:val="center"/>
            <w:tcMar>
              <w:top w:w="90" w:type="dxa"/>
              <w:start w:w="90" w:type="dxa"/>
              <w:bottom w:w="90" w:type="dxa"/>
              <w:end w:w="90" w:type="dxa"/>
            </w:tcMar>
          </w:tcPr>
          <w:p>
            <w:pPr>
              <w:jc w:val="left"/>
            </w:pPr>
            <w:r/>
            <w:r>
              <w:rPr>
                <w:b w:val="0"/>
                <w:color w:val="1F2937"/>
                <w:sz w:val="16"/>
              </w:rPr>
              <w:t>Wipro</w:t>
            </w:r>
          </w:p>
        </w:tc>
        <w:tc>
          <w:tcPr>
            <w:tcW w:type="dxa" w:w="1440"/>
            <w:vAlign w:val="center"/>
            <w:tcMar>
              <w:top w:w="90" w:type="dxa"/>
              <w:start w:w="90" w:type="dxa"/>
              <w:bottom w:w="90" w:type="dxa"/>
              <w:end w:w="90" w:type="dxa"/>
            </w:tcMar>
          </w:tcPr>
          <w:p>
            <w:pPr>
              <w:jc w:val="left"/>
            </w:pPr>
            <w:r/>
            <w:r>
              <w:rPr>
                <w:b w:val="0"/>
                <w:color w:val="1F2937"/>
                <w:sz w:val="16"/>
              </w:rPr>
              <w:t>13</w:t>
            </w:r>
          </w:p>
        </w:tc>
        <w:tc>
          <w:tcPr>
            <w:tcW w:type="dxa" w:w="1728"/>
            <w:vAlign w:val="center"/>
            <w:tcMar>
              <w:top w:w="90" w:type="dxa"/>
              <w:start w:w="90" w:type="dxa"/>
              <w:bottom w:w="90" w:type="dxa"/>
              <w:end w:w="90" w:type="dxa"/>
            </w:tcMar>
          </w:tcPr>
          <w:p>
            <w:pPr>
              <w:jc w:val="left"/>
            </w:pPr>
            <w:r/>
            <w:r>
              <w:rPr>
                <w:b w:val="0"/>
                <w:color w:val="1F2937"/>
                <w:sz w:val="16"/>
              </w:rPr>
              <w:t>13</w:t>
            </w:r>
          </w:p>
        </w:tc>
        <w:tc>
          <w:tcPr>
            <w:tcW w:type="dxa" w:w="2232"/>
            <w:vAlign w:val="center"/>
            <w:tcMar>
              <w:top w:w="90" w:type="dxa"/>
              <w:start w:w="90" w:type="dxa"/>
              <w:bottom w:w="90" w:type="dxa"/>
              <w:end w:w="90" w:type="dxa"/>
            </w:tcMar>
          </w:tcPr>
          <w:p>
            <w:pPr>
              <w:jc w:val="left"/>
            </w:pPr>
            <w:r/>
            <w:r>
              <w:rPr>
                <w:b w:val="0"/>
                <w:color w:val="1F2937"/>
                <w:sz w:val="16"/>
              </w:rPr>
              <w:t>13</w:t>
            </w:r>
          </w:p>
        </w:tc>
        <w:tc>
          <w:tcPr>
            <w:tcW w:type="dxa" w:w="2016"/>
            <w:vAlign w:val="center"/>
            <w:tcMar>
              <w:top w:w="90" w:type="dxa"/>
              <w:start w:w="90" w:type="dxa"/>
              <w:bottom w:w="90" w:type="dxa"/>
              <w:end w:w="90" w:type="dxa"/>
            </w:tcMar>
          </w:tcPr>
          <w:p>
            <w:pPr>
              <w:jc w:val="left"/>
            </w:pPr>
            <w:r/>
            <w:r>
              <w:rPr>
                <w:b w:val="0"/>
                <w:color w:val="1F2937"/>
                <w:sz w:val="16"/>
              </w:rPr>
              <w:t>13</w:t>
            </w:r>
          </w:p>
        </w:tc>
        <w:tc>
          <w:tcPr>
            <w:tcW w:type="dxa" w:w="3240"/>
            <w:vAlign w:val="center"/>
            <w:tcMar>
              <w:top w:w="90" w:type="dxa"/>
              <w:start w:w="90" w:type="dxa"/>
              <w:bottom w:w="90" w:type="dxa"/>
              <w:end w:w="90" w:type="dxa"/>
            </w:tcMar>
          </w:tcPr>
          <w:p>
            <w:pPr>
              <w:jc w:val="left"/>
            </w:pPr>
            <w:r/>
            <w:r>
              <w:rPr>
                <w:b w:val="0"/>
                <w:color w:val="1F2937"/>
                <w:sz w:val="16"/>
              </w:rPr>
              <w:t>Structured extraction + issuer current-quarter validation</w:t>
            </w:r>
          </w:p>
        </w:tc>
      </w:tr>
    </w:tbl>
    <w:p>
      <w:pPr>
        <w:pStyle w:val="Note"/>
      </w:pPr>
      <w:r>
        <w:rPr>
          <w:i/>
          <w:color w:val="667085"/>
          <w:sz w:val="17"/>
        </w:rPr>
        <w:t>Companion workbook: Week2_TCS_Financial_Data_Collection_Cleaning.xlsx. The workbook contains Raw_Quarterly, Cleaned_Quarterly, Current_KPIs, Data_Dictionary, Source_Log, QA_Checks, Trend_Index and Overview sheets.</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Educational simulation based on public data  •  Data cut-off: Q1 FY27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YUVAINTERN  |  JUNIOR FINANCIAL DATA ANALYST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120"/>
    </w:pPr>
    <w:rPr>
      <w:rFonts w:ascii="Aptos" w:hAnsi="Aptos"/>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tcs.com/investor-relations/financial-statements" TargetMode="External"/><Relationship Id="rId15" Type="http://schemas.openxmlformats.org/officeDocument/2006/relationships/hyperlink" Target="https://www.tcs.com/who-we-are/newsroom/press-release/tcs-financial-results-q1-fy-2027" TargetMode="External"/><Relationship Id="rId16" Type="http://schemas.openxmlformats.org/officeDocument/2006/relationships/hyperlink" Target="https://www.tcs.com/investor-relations/investor-faqs" TargetMode="External"/><Relationship Id="rId17" Type="http://schemas.openxmlformats.org/officeDocument/2006/relationships/hyperlink" Target="https://www.infosys.com/investors/reports-filings/quarterly-results/" TargetMode="External"/><Relationship Id="rId18" Type="http://schemas.openxmlformats.org/officeDocument/2006/relationships/hyperlink" Target="https://www.infosys.com/investors/reports-filings/quarterly-results/2026-2027/q1.html" TargetMode="External"/><Relationship Id="rId19" Type="http://schemas.openxmlformats.org/officeDocument/2006/relationships/hyperlink" Target="https://www.infosys.com/about/last-quarter.html" TargetMode="External"/><Relationship Id="rId20" Type="http://schemas.openxmlformats.org/officeDocument/2006/relationships/hyperlink" Target="https://www.hcltech.com/investor-relations" TargetMode="External"/><Relationship Id="rId21" Type="http://schemas.openxmlformats.org/officeDocument/2006/relationships/hyperlink" Target="https://www.hcltech.com/en-us/press-releases/hcltech-delivers-robust-q1-led-record-deal-bookings-24-billion" TargetMode="External"/><Relationship Id="rId22" Type="http://schemas.openxmlformats.org/officeDocument/2006/relationships/hyperlink" Target="https://www.wipro.com/newsroom/press-releases/2026/wipro-announces-results-for-the-quarter-ended-june-30-2026/" TargetMode="External"/><Relationship Id="rId23" Type="http://schemas.openxmlformats.org/officeDocument/2006/relationships/hyperlink" Target="https://www.wipro.com/investors/corporate-governance/stock-exchange-filings/" TargetMode="External"/><Relationship Id="rId24" Type="http://schemas.openxmlformats.org/officeDocument/2006/relationships/hyperlink" Target="https://www.screener.in/company/TCS/consolidated/" TargetMode="External"/><Relationship Id="rId25" Type="http://schemas.openxmlformats.org/officeDocument/2006/relationships/hyperlink" Target="https://www.screener.in/company/INFY/consolidated/" TargetMode="External"/><Relationship Id="rId26" Type="http://schemas.openxmlformats.org/officeDocument/2006/relationships/hyperlink" Target="https://www.screener.in/company/HCLTECH/consolidated/" TargetMode="External"/><Relationship Id="rId27" Type="http://schemas.openxmlformats.org/officeDocument/2006/relationships/hyperlink" Target="https://www.screener.in/company/WIPRO/consolid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Financial Data Collection &amp; Cleaning Process – TCS Peer Set</dc:title>
  <dc:subject>Junior Financial Data Analyst Internship | Yuvaintern</dc:subject>
  <dc:creator>Swarnadeep Dey</dc:creator>
  <cp:keywords>Financial Data Analysis, TCS, Infosys, HCLTech, Wipro, Data Cleaning, Equity Research</cp:keywords>
  <dc:description>generated by python-docx</dc:description>
  <cp:lastModifiedBy/>
  <cp:revision>1</cp:revision>
  <dcterms:created xsi:type="dcterms:W3CDTF">2013-12-23T23:15:00Z</dcterms:created>
  <dcterms:modified xsi:type="dcterms:W3CDTF">2013-12-23T23:15:00Z</dcterms:modified>
  <cp:category/>
</cp:coreProperties>
</file>