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b/>
          <w:color w:val="007F86"/>
          <w:sz w:val="22"/>
        </w:rPr>
        <w:t>FINANCIAL DATA ANALYSIS</w:t>
      </w:r>
    </w:p>
    <w:p>
      <w:pPr>
        <w:spacing w:after="160"/>
      </w:pPr>
      <w:r>
        <w:rPr>
          <w:b/>
          <w:color w:val="17324D"/>
          <w:sz w:val="60"/>
        </w:rPr>
        <w:t>Financial Data</w:t>
        <w:br/>
        <w:t>Visualization &amp; Reporting</w:t>
      </w:r>
    </w:p>
    <w:p>
      <w:pPr>
        <w:spacing w:after="360"/>
      </w:pPr>
      <w:r>
        <w:rPr>
          <w:color w:val="1E293B"/>
          <w:sz w:val="30"/>
        </w:rPr>
        <w:t>TCS vs Infosys, HCLTech and Wipro</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20"/>
            <w:shd w:fill="17324D"/>
            <w:tcMar>
              <w:top w:w="100" w:type="dxa"/>
              <w:start w:w="120" w:type="dxa"/>
              <w:bottom w:w="100" w:type="dxa"/>
              <w:end w:w="120" w:type="dxa"/>
            </w:tcMar>
            <w:vAlign w:val="center"/>
          </w:tcPr>
          <w:p>
            <w:pPr>
              <w:jc w:val="center"/>
            </w:pPr>
            <w:r>
              <w:rPr>
                <w:b/>
                <w:color w:val="FFFFFF"/>
                <w:sz w:val="16"/>
              </w:rPr>
              <w:t>ANALYSIS WINDOW</w:t>
            </w:r>
          </w:p>
          <w:p>
            <w:pPr>
              <w:jc w:val="center"/>
            </w:pPr>
            <w:r>
              <w:rPr>
                <w:b/>
                <w:color w:val="FFFFFF"/>
                <w:sz w:val="32"/>
              </w:rPr>
              <w:t>Q1 FY24–Q1 FY27</w:t>
            </w:r>
          </w:p>
          <w:p>
            <w:pPr>
              <w:jc w:val="center"/>
            </w:pPr>
            <w:r>
              <w:rPr>
                <w:color w:val="DCE6EB"/>
                <w:sz w:val="16"/>
              </w:rPr>
              <w:t>13 common quarters</w:t>
            </w:r>
          </w:p>
        </w:tc>
        <w:tc>
          <w:tcPr>
            <w:tcW w:type="dxa" w:w="2520"/>
            <w:shd w:fill="17324D"/>
            <w:tcMar>
              <w:top w:w="100" w:type="dxa"/>
              <w:start w:w="120" w:type="dxa"/>
              <w:bottom w:w="100" w:type="dxa"/>
              <w:end w:w="120" w:type="dxa"/>
            </w:tcMar>
            <w:vAlign w:val="center"/>
          </w:tcPr>
          <w:p>
            <w:pPr>
              <w:jc w:val="center"/>
            </w:pPr>
            <w:r>
              <w:rPr>
                <w:b/>
                <w:color w:val="FFFFFF"/>
                <w:sz w:val="16"/>
              </w:rPr>
              <w:t>PEER UNIVERSE</w:t>
            </w:r>
          </w:p>
          <w:p>
            <w:pPr>
              <w:jc w:val="center"/>
            </w:pPr>
            <w:r>
              <w:rPr>
                <w:b/>
                <w:color w:val="FFFFFF"/>
                <w:sz w:val="32"/>
              </w:rPr>
              <w:t>4 issuers</w:t>
            </w:r>
          </w:p>
          <w:p>
            <w:pPr>
              <w:jc w:val="center"/>
            </w:pPr>
            <w:r>
              <w:rPr>
                <w:color w:val="DCE6EB"/>
                <w:sz w:val="16"/>
              </w:rPr>
              <w:t>TCS • Infosys • HCLTech • Wipro</w:t>
            </w:r>
          </w:p>
        </w:tc>
        <w:tc>
          <w:tcPr>
            <w:tcW w:type="dxa" w:w="2520"/>
            <w:shd w:fill="17324D"/>
            <w:tcMar>
              <w:top w:w="100" w:type="dxa"/>
              <w:start w:w="120" w:type="dxa"/>
              <w:bottom w:w="100" w:type="dxa"/>
              <w:end w:w="120" w:type="dxa"/>
            </w:tcMar>
            <w:vAlign w:val="center"/>
          </w:tcPr>
          <w:p>
            <w:pPr>
              <w:jc w:val="center"/>
            </w:pPr>
            <w:r>
              <w:rPr>
                <w:b/>
                <w:color w:val="FFFFFF"/>
                <w:sz w:val="16"/>
              </w:rPr>
              <w:t>WORKING PANEL</w:t>
            </w:r>
          </w:p>
          <w:p>
            <w:pPr>
              <w:jc w:val="center"/>
            </w:pPr>
            <w:r>
              <w:rPr>
                <w:b/>
                <w:color w:val="FFFFFF"/>
                <w:sz w:val="32"/>
              </w:rPr>
              <w:t>52 observations</w:t>
            </w:r>
          </w:p>
          <w:p>
            <w:pPr>
              <w:jc w:val="center"/>
            </w:pPr>
            <w:r>
              <w:rPr>
                <w:color w:val="DCE6EB"/>
                <w:sz w:val="16"/>
              </w:rPr>
              <w:t>13 quarters × 4 companies</w:t>
            </w:r>
          </w:p>
        </w:tc>
        <w:tc>
          <w:tcPr>
            <w:tcW w:type="dxa" w:w="2520"/>
            <w:shd w:fill="17324D"/>
            <w:tcMar>
              <w:top w:w="100" w:type="dxa"/>
              <w:start w:w="120" w:type="dxa"/>
              <w:bottom w:w="100" w:type="dxa"/>
              <w:end w:w="120" w:type="dxa"/>
            </w:tcMar>
            <w:vAlign w:val="center"/>
          </w:tcPr>
          <w:p>
            <w:pPr>
              <w:jc w:val="center"/>
            </w:pPr>
            <w:r>
              <w:rPr>
                <w:b/>
                <w:color w:val="FFFFFF"/>
                <w:sz w:val="16"/>
              </w:rPr>
              <w:t>PRIMARY OUTPUT</w:t>
            </w:r>
          </w:p>
          <w:p>
            <w:pPr>
              <w:jc w:val="center"/>
            </w:pPr>
            <w:r>
              <w:rPr>
                <w:b/>
                <w:color w:val="FFFFFF"/>
                <w:sz w:val="32"/>
              </w:rPr>
              <w:t>8 visuals</w:t>
            </w:r>
          </w:p>
          <w:p>
            <w:pPr>
              <w:jc w:val="center"/>
            </w:pPr>
            <w:r>
              <w:rPr>
                <w:color w:val="DCE6EB"/>
                <w:sz w:val="16"/>
              </w:rPr>
              <w:t>Trend, growth, margin &amp; QA views</w:t>
            </w:r>
          </w:p>
        </w:tc>
      </w:tr>
    </w:tbl>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Engagement context</w:t>
            </w:r>
          </w:p>
          <w:p>
            <w:pPr>
              <w:spacing w:after="0"/>
            </w:pPr>
            <w:r>
              <w:rPr>
                <w:sz w:val="19"/>
              </w:rPr>
              <w:t>A simulated equity-research workflow. Week 3 converts the Week 2 cleaned financial panel into decision-oriented visualizations and analytical commentary. It is an educational internship deliverable and is not investment advice.</w:t>
            </w:r>
          </w:p>
        </w:tc>
      </w:tr>
    </w:tbl>
    <w:p>
      <w:pPr>
        <w:spacing w:before="520"/>
      </w:pPr>
      <w:r>
        <w:rPr>
          <w:b/>
          <w:sz w:val="20"/>
        </w:rPr>
        <w:t>Prepared for: Yuvaintern — Junior Financial Data Analyst Internship</w:t>
      </w:r>
    </w:p>
    <w:p>
      <w:r>
        <w:rPr>
          <w:color w:val="6B7280"/>
          <w:sz w:val="18"/>
        </w:rPr>
        <w:t>Data cut-off: Q1 FY27 results (quarter ended 30 June 2026), with current issuer metrics cross-checked against company disclosures.</w:t>
      </w:r>
    </w:p>
    <w:p>
      <w:r>
        <w:br w:type="page"/>
      </w:r>
    </w:p>
    <w:p>
      <w:pPr>
        <w:pStyle w:val="Heading1"/>
        <w:spacing w:before="160" w:after="100"/>
      </w:pPr>
      <w:r>
        <w:rPr>
          <w:b/>
          <w:color w:val="17324D"/>
        </w:rPr>
        <w:t>1. Executive Summary</w:t>
      </w:r>
    </w:p>
    <w:p>
      <w:pPr>
        <w:spacing w:after="120" w:line="259" w:lineRule="auto"/>
      </w:pPr>
      <w:r>
        <w:rPr>
          <w:color w:val="1E293B"/>
          <w:sz w:val="19"/>
        </w:rPr>
        <w:t>Week 3 transforms the analysis-ready financial panel created in Week 2 into a structured visualization and reporting layer. The objective is to make the data easier to compare across companies and quarters while preserving the source, unit, and reporting-basis controls already established.</w:t>
      </w:r>
    </w:p>
    <w:p>
      <w:pPr>
        <w:spacing w:after="120" w:line="259" w:lineRule="auto"/>
      </w:pPr>
      <w:r>
        <w:rPr>
          <w:color w:val="1E293B"/>
          <w:sz w:val="19"/>
        </w:rPr>
        <w:t>The common historical panel contains 13 quarters from Q1 FY24 through Q1 FY27 for TCS, Infosys, HCLTech and Wipro. The most useful views are an absolute revenue trend, an indexed revenue comparison, INR-reported year-on-year growth, standardized-panel margin trends, a current issuer-validated Q1 FY27 snapshot, and a quarter-to-quarter growth-volatility view.</w:t>
      </w:r>
    </w:p>
    <w:p>
      <w:pPr>
        <w:pStyle w:val="Heading2"/>
        <w:spacing w:before="100" w:after="100"/>
      </w:pPr>
      <w:r>
        <w:rPr>
          <w:color w:val="007F86"/>
        </w:rPr>
        <w:t>Key observations from the visual review</w:t>
      </w:r>
    </w:p>
    <w:p>
      <w:pPr>
        <w:pStyle w:val="ListBullet"/>
        <w:spacing w:after="60"/>
      </w:pPr>
      <w:r>
        <w:rPr>
          <w:color w:val="1E293B"/>
          <w:sz w:val="19"/>
        </w:rPr>
        <w:t>Relative revenue expansion is strongest for HCLTech and Infosys over the Q1 FY24–Q1 FY27 window, while Wipro shows materially lower cumulative expansion.</w:t>
      </w:r>
    </w:p>
    <w:p>
      <w:pPr>
        <w:pStyle w:val="ListBullet"/>
        <w:spacing w:after="60"/>
      </w:pPr>
      <w:r>
        <w:rPr>
          <w:color w:val="1E293B"/>
          <w:sz w:val="19"/>
        </w:rPr>
        <w:t>TCS remains the largest revenue platform in the standardized Q1 FY27 panel, with ₹72,275 crore versus ₹48,211 crore for Infosys, ₹34,579 crore for HCLTech and ₹24,479 crore for Wipro.</w:t>
      </w:r>
    </w:p>
    <w:p>
      <w:pPr>
        <w:pStyle w:val="ListBullet"/>
        <w:spacing w:after="60"/>
      </w:pPr>
      <w:r>
        <w:rPr>
          <w:color w:val="1E293B"/>
          <w:sz w:val="19"/>
        </w:rPr>
        <w:t>Latest INR-reported YoY growth in the historical panel is clustered at roughly 13.9% for TCS, Infosys and HCLTech, with Wipro at about 10.6%; this should not be read as constant-currency growth.</w:t>
      </w:r>
    </w:p>
    <w:p>
      <w:pPr>
        <w:pStyle w:val="ListBullet"/>
        <w:spacing w:after="60"/>
      </w:pPr>
      <w:r>
        <w:rPr>
          <w:color w:val="1E293B"/>
          <w:sz w:val="19"/>
        </w:rPr>
        <w:t>The historical operating-margin series is useful for within-panel trend review but is not interchangeable with each issuer's current EBIT or IT-services margin definition. The report therefore separates the standardized historical panel from the issuer-validated Q1 FY27 margin snapshot.</w:t>
      </w:r>
    </w:p>
    <w:p>
      <w:pPr>
        <w:pStyle w:val="ListBullet"/>
        <w:spacing w:after="60"/>
      </w:pPr>
      <w:r>
        <w:rPr>
          <w:color w:val="1E293B"/>
          <w:sz w:val="19"/>
        </w:rPr>
        <w:t>Growth-volatility is comparatively contained in the panel, but the level of volatility alone is not a quality signal; it should be interpreted alongside scale, trend, reporting basis and the source hierarchy.</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Analyst discipline</w:t>
            </w:r>
          </w:p>
          <w:p>
            <w:pPr>
              <w:spacing w:after="0"/>
            </w:pPr>
            <w:r>
              <w:rPr>
                <w:sz w:val="19"/>
              </w:rPr>
              <w:t>Charts are treated as analytical instruments rather than decoration. Every figure has a defined metric, unit, time window, basis note and written interpretation. Where the underlying measure is not perfectly comparable, the limitation is made visible instead of being hidden by formatting.</w:t>
            </w:r>
          </w:p>
        </w:tc>
      </w:tr>
    </w:tbl>
    <w:p>
      <w:r>
        <w:br w:type="page"/>
      </w:r>
    </w:p>
    <w:p>
      <w:pPr>
        <w:pStyle w:val="Heading1"/>
        <w:spacing w:before="160" w:after="100"/>
      </w:pPr>
      <w:r>
        <w:rPr>
          <w:b/>
          <w:color w:val="17324D"/>
        </w:rPr>
        <w:t>2. Scope, Dataset and Visualization Framework</w:t>
      </w:r>
    </w:p>
    <w:p>
      <w:pPr>
        <w:pStyle w:val="Heading2"/>
        <w:spacing w:before="100" w:after="100"/>
      </w:pPr>
      <w:r>
        <w:rPr>
          <w:color w:val="007F86"/>
        </w:rPr>
        <w:t>2.1 Data scope</w:t>
      </w:r>
    </w:p>
    <w:p>
      <w:pPr>
        <w:spacing w:after="120" w:line="259" w:lineRule="auto"/>
      </w:pPr>
      <w:r>
        <w:rPr>
          <w:color w:val="1E293B"/>
          <w:sz w:val="19"/>
        </w:rPr>
        <w:t>The Week 2 cleaned dataset is the sole historical input for the visual analysis. It contains revenue, operating profit, net profit, quarter-on-quarter growth, year-on-year growth, operating margin and net margin. Financial statement fields are standardized to INR crore. Fiscal-quarter labels are normalized to a common sequence from Q1 FY24 to Q1 FY27.</w:t>
      </w:r>
    </w:p>
    <w:p>
      <w:pPr>
        <w:pStyle w:val="Heading2"/>
        <w:spacing w:before="100" w:after="100"/>
      </w:pPr>
      <w:r>
        <w:rPr>
          <w:color w:val="007F86"/>
        </w:rPr>
        <w:t>2.2 Visualization metrics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tcMar>
              <w:top w:w="80" w:type="dxa"/>
              <w:start w:w="100" w:type="dxa"/>
              <w:bottom w:w="80" w:type="dxa"/>
              <w:end w:w="100" w:type="dxa"/>
            </w:tcMar>
          </w:tcPr>
          <w:p>
            <w:pPr>
              <w:jc w:val="center"/>
            </w:pPr>
            <w:r>
              <w:rPr>
                <w:b/>
                <w:color w:val="FFFFFF"/>
                <w:sz w:val="17"/>
              </w:rPr>
              <w:t>Visualization</w:t>
            </w:r>
          </w:p>
        </w:tc>
        <w:tc>
          <w:tcPr>
            <w:tcW w:type="dxa" w:w="3240"/>
            <w:shd w:fill="17324D"/>
            <w:tcMar>
              <w:top w:w="80" w:type="dxa"/>
              <w:start w:w="100" w:type="dxa"/>
              <w:bottom w:w="80" w:type="dxa"/>
              <w:end w:w="100" w:type="dxa"/>
            </w:tcMar>
          </w:tcPr>
          <w:p>
            <w:pPr>
              <w:jc w:val="center"/>
            </w:pPr>
            <w:r>
              <w:rPr>
                <w:b/>
                <w:color w:val="FFFFFF"/>
                <w:sz w:val="17"/>
              </w:rPr>
              <w:t>Definition</w:t>
            </w:r>
          </w:p>
        </w:tc>
        <w:tc>
          <w:tcPr>
            <w:tcW w:type="dxa" w:w="5688"/>
            <w:shd w:fill="17324D"/>
            <w:tcMar>
              <w:top w:w="80" w:type="dxa"/>
              <w:start w:w="100" w:type="dxa"/>
              <w:bottom w:w="80" w:type="dxa"/>
              <w:end w:w="100" w:type="dxa"/>
            </w:tcMar>
          </w:tcPr>
          <w:p>
            <w:pPr>
              <w:jc w:val="center"/>
            </w:pPr>
            <w:r>
              <w:rPr>
                <w:b/>
                <w:color w:val="FFFFFF"/>
                <w:sz w:val="17"/>
              </w:rPr>
              <w:t>Purpose</w:t>
            </w:r>
          </w:p>
        </w:tc>
      </w:tr>
      <w:tr>
        <w:tc>
          <w:tcPr>
            <w:tcW w:type="dxa" w:w="2232"/>
            <w:tcMar>
              <w:top w:w="80" w:type="dxa"/>
              <w:start w:w="100" w:type="dxa"/>
              <w:bottom w:w="80" w:type="dxa"/>
              <w:end w:w="100" w:type="dxa"/>
            </w:tcMar>
            <w:shd w:fill="F7FAFC"/>
          </w:tcPr>
          <w:p>
            <w:pPr>
              <w:jc w:val="left"/>
            </w:pPr>
            <w:r>
              <w:rPr>
                <w:color w:val="1E293B"/>
                <w:sz w:val="17"/>
              </w:rPr>
              <w:t>Revenue trend</w:t>
            </w:r>
          </w:p>
        </w:tc>
        <w:tc>
          <w:tcPr>
            <w:tcW w:type="dxa" w:w="3240"/>
            <w:tcMar>
              <w:top w:w="80" w:type="dxa"/>
              <w:start w:w="100" w:type="dxa"/>
              <w:bottom w:w="80" w:type="dxa"/>
              <w:end w:w="100" w:type="dxa"/>
            </w:tcMar>
            <w:shd w:fill="F7FAFC"/>
          </w:tcPr>
          <w:p>
            <w:pPr>
              <w:jc w:val="center"/>
            </w:pPr>
            <w:r>
              <w:rPr>
                <w:color w:val="1E293B"/>
                <w:sz w:val="17"/>
              </w:rPr>
              <w:t>Reported revenue (₹ crore)</w:t>
            </w:r>
          </w:p>
        </w:tc>
        <w:tc>
          <w:tcPr>
            <w:tcW w:type="dxa" w:w="5688"/>
            <w:tcMar>
              <w:top w:w="80" w:type="dxa"/>
              <w:start w:w="100" w:type="dxa"/>
              <w:bottom w:w="80" w:type="dxa"/>
              <w:end w:w="100" w:type="dxa"/>
            </w:tcMar>
            <w:shd w:fill="F7FAFC"/>
          </w:tcPr>
          <w:p>
            <w:pPr>
              <w:jc w:val="center"/>
            </w:pPr>
            <w:r>
              <w:rPr>
                <w:color w:val="1E293B"/>
                <w:sz w:val="17"/>
              </w:rPr>
              <w:t>Shows absolute scale and quarterly direction.</w:t>
            </w:r>
          </w:p>
        </w:tc>
      </w:tr>
      <w:tr>
        <w:tc>
          <w:tcPr>
            <w:tcW w:type="dxa" w:w="2232"/>
            <w:tcMar>
              <w:top w:w="80" w:type="dxa"/>
              <w:start w:w="100" w:type="dxa"/>
              <w:bottom w:w="80" w:type="dxa"/>
              <w:end w:w="100" w:type="dxa"/>
            </w:tcMar>
          </w:tcPr>
          <w:p>
            <w:pPr>
              <w:jc w:val="left"/>
            </w:pPr>
            <w:r>
              <w:rPr>
                <w:color w:val="1E293B"/>
                <w:sz w:val="17"/>
              </w:rPr>
              <w:t>Revenue index</w:t>
            </w:r>
          </w:p>
        </w:tc>
        <w:tc>
          <w:tcPr>
            <w:tcW w:type="dxa" w:w="3240"/>
            <w:tcMar>
              <w:top w:w="80" w:type="dxa"/>
              <w:start w:w="100" w:type="dxa"/>
              <w:bottom w:w="80" w:type="dxa"/>
              <w:end w:w="100" w:type="dxa"/>
            </w:tcMar>
          </w:tcPr>
          <w:p>
            <w:pPr>
              <w:jc w:val="center"/>
            </w:pPr>
            <w:r>
              <w:rPr>
                <w:color w:val="1E293B"/>
                <w:sz w:val="17"/>
              </w:rPr>
              <w:t>Revenue ÷ Q1 FY24 revenue × 100</w:t>
            </w:r>
          </w:p>
        </w:tc>
        <w:tc>
          <w:tcPr>
            <w:tcW w:type="dxa" w:w="5688"/>
            <w:tcMar>
              <w:top w:w="80" w:type="dxa"/>
              <w:start w:w="100" w:type="dxa"/>
              <w:bottom w:w="80" w:type="dxa"/>
              <w:end w:w="100" w:type="dxa"/>
            </w:tcMar>
          </w:tcPr>
          <w:p>
            <w:pPr>
              <w:jc w:val="center"/>
            </w:pPr>
            <w:r>
              <w:rPr>
                <w:color w:val="1E293B"/>
                <w:sz w:val="17"/>
              </w:rPr>
              <w:t>Compares relative expansion from a common base.</w:t>
            </w:r>
          </w:p>
        </w:tc>
      </w:tr>
      <w:tr>
        <w:tc>
          <w:tcPr>
            <w:tcW w:type="dxa" w:w="2232"/>
            <w:tcMar>
              <w:top w:w="80" w:type="dxa"/>
              <w:start w:w="100" w:type="dxa"/>
              <w:bottom w:w="80" w:type="dxa"/>
              <w:end w:w="100" w:type="dxa"/>
            </w:tcMar>
            <w:shd w:fill="F7FAFC"/>
          </w:tcPr>
          <w:p>
            <w:pPr>
              <w:jc w:val="left"/>
            </w:pPr>
            <w:r>
              <w:rPr>
                <w:color w:val="1E293B"/>
                <w:sz w:val="17"/>
              </w:rPr>
              <w:t>YoY growth</w:t>
            </w:r>
          </w:p>
        </w:tc>
        <w:tc>
          <w:tcPr>
            <w:tcW w:type="dxa" w:w="3240"/>
            <w:tcMar>
              <w:top w:w="80" w:type="dxa"/>
              <w:start w:w="100" w:type="dxa"/>
              <w:bottom w:w="80" w:type="dxa"/>
              <w:end w:w="100" w:type="dxa"/>
            </w:tcMar>
            <w:shd w:fill="F7FAFC"/>
          </w:tcPr>
          <w:p>
            <w:pPr>
              <w:jc w:val="center"/>
            </w:pPr>
            <w:r>
              <w:rPr>
                <w:color w:val="1E293B"/>
                <w:sz w:val="17"/>
              </w:rPr>
              <w:t>Current quarter revenue ÷ revenue in prior-year quarter − 1</w:t>
            </w:r>
          </w:p>
        </w:tc>
        <w:tc>
          <w:tcPr>
            <w:tcW w:type="dxa" w:w="5688"/>
            <w:tcMar>
              <w:top w:w="80" w:type="dxa"/>
              <w:start w:w="100" w:type="dxa"/>
              <w:bottom w:w="80" w:type="dxa"/>
              <w:end w:w="100" w:type="dxa"/>
            </w:tcMar>
            <w:shd w:fill="F7FAFC"/>
          </w:tcPr>
          <w:p>
            <w:pPr>
              <w:jc w:val="center"/>
            </w:pPr>
            <w:r>
              <w:rPr>
                <w:color w:val="1E293B"/>
                <w:sz w:val="17"/>
              </w:rPr>
              <w:t>Reduces seasonality from sequential comparisons; shown on INR basis.</w:t>
            </w:r>
          </w:p>
        </w:tc>
      </w:tr>
      <w:tr>
        <w:tc>
          <w:tcPr>
            <w:tcW w:type="dxa" w:w="2232"/>
            <w:tcMar>
              <w:top w:w="80" w:type="dxa"/>
              <w:start w:w="100" w:type="dxa"/>
              <w:bottom w:w="80" w:type="dxa"/>
              <w:end w:w="100" w:type="dxa"/>
            </w:tcMar>
          </w:tcPr>
          <w:p>
            <w:pPr>
              <w:jc w:val="left"/>
            </w:pPr>
            <w:r>
              <w:rPr>
                <w:color w:val="1E293B"/>
                <w:sz w:val="17"/>
              </w:rPr>
              <w:t>Panel operating margin</w:t>
            </w:r>
          </w:p>
        </w:tc>
        <w:tc>
          <w:tcPr>
            <w:tcW w:type="dxa" w:w="3240"/>
            <w:tcMar>
              <w:top w:w="80" w:type="dxa"/>
              <w:start w:w="100" w:type="dxa"/>
              <w:bottom w:w="80" w:type="dxa"/>
              <w:end w:w="100" w:type="dxa"/>
            </w:tcMar>
          </w:tcPr>
          <w:p>
            <w:pPr>
              <w:jc w:val="center"/>
            </w:pPr>
            <w:r>
              <w:rPr>
                <w:color w:val="1E293B"/>
                <w:sz w:val="17"/>
              </w:rPr>
              <w:t>Operating profit ÷ revenue × 100</w:t>
            </w:r>
          </w:p>
        </w:tc>
        <w:tc>
          <w:tcPr>
            <w:tcW w:type="dxa" w:w="5688"/>
            <w:tcMar>
              <w:top w:w="80" w:type="dxa"/>
              <w:start w:w="100" w:type="dxa"/>
              <w:bottom w:w="80" w:type="dxa"/>
              <w:end w:w="100" w:type="dxa"/>
            </w:tcMar>
          </w:tcPr>
          <w:p>
            <w:pPr>
              <w:jc w:val="center"/>
            </w:pPr>
            <w:r>
              <w:rPr>
                <w:color w:val="1E293B"/>
                <w:sz w:val="17"/>
              </w:rPr>
              <w:t>Tracks the standardized Week 2 profitability field.</w:t>
            </w:r>
          </w:p>
        </w:tc>
      </w:tr>
      <w:tr>
        <w:tc>
          <w:tcPr>
            <w:tcW w:type="dxa" w:w="2232"/>
            <w:tcMar>
              <w:top w:w="80" w:type="dxa"/>
              <w:start w:w="100" w:type="dxa"/>
              <w:bottom w:w="80" w:type="dxa"/>
              <w:end w:w="100" w:type="dxa"/>
            </w:tcMar>
            <w:shd w:fill="F7FAFC"/>
          </w:tcPr>
          <w:p>
            <w:pPr>
              <w:jc w:val="left"/>
            </w:pPr>
            <w:r>
              <w:rPr>
                <w:color w:val="1E293B"/>
                <w:sz w:val="17"/>
              </w:rPr>
              <w:t>Net margin</w:t>
            </w:r>
          </w:p>
        </w:tc>
        <w:tc>
          <w:tcPr>
            <w:tcW w:type="dxa" w:w="3240"/>
            <w:tcMar>
              <w:top w:w="80" w:type="dxa"/>
              <w:start w:w="100" w:type="dxa"/>
              <w:bottom w:w="80" w:type="dxa"/>
              <w:end w:w="100" w:type="dxa"/>
            </w:tcMar>
            <w:shd w:fill="F7FAFC"/>
          </w:tcPr>
          <w:p>
            <w:pPr>
              <w:jc w:val="center"/>
            </w:pPr>
            <w:r>
              <w:rPr>
                <w:color w:val="1E293B"/>
                <w:sz w:val="17"/>
              </w:rPr>
              <w:t>Net profit ÷ revenue × 100</w:t>
            </w:r>
          </w:p>
        </w:tc>
        <w:tc>
          <w:tcPr>
            <w:tcW w:type="dxa" w:w="5688"/>
            <w:tcMar>
              <w:top w:w="80" w:type="dxa"/>
              <w:start w:w="100" w:type="dxa"/>
              <w:bottom w:w="80" w:type="dxa"/>
              <w:end w:w="100" w:type="dxa"/>
            </w:tcMar>
            <w:shd w:fill="F7FAFC"/>
          </w:tcPr>
          <w:p>
            <w:pPr>
              <w:jc w:val="center"/>
            </w:pPr>
            <w:r>
              <w:rPr>
                <w:color w:val="1E293B"/>
                <w:sz w:val="17"/>
              </w:rPr>
              <w:t>Shows bottom-line conversion in the standardized panel.</w:t>
            </w:r>
          </w:p>
        </w:tc>
      </w:tr>
      <w:tr>
        <w:tc>
          <w:tcPr>
            <w:tcW w:type="dxa" w:w="2232"/>
            <w:tcMar>
              <w:top w:w="80" w:type="dxa"/>
              <w:start w:w="100" w:type="dxa"/>
              <w:bottom w:w="80" w:type="dxa"/>
              <w:end w:w="100" w:type="dxa"/>
            </w:tcMar>
          </w:tcPr>
          <w:p>
            <w:pPr>
              <w:jc w:val="left"/>
            </w:pPr>
            <w:r>
              <w:rPr>
                <w:color w:val="1E293B"/>
                <w:sz w:val="17"/>
              </w:rPr>
              <w:t>QoQ volatility</w:t>
            </w:r>
          </w:p>
        </w:tc>
        <w:tc>
          <w:tcPr>
            <w:tcW w:type="dxa" w:w="3240"/>
            <w:tcMar>
              <w:top w:w="80" w:type="dxa"/>
              <w:start w:w="100" w:type="dxa"/>
              <w:bottom w:w="80" w:type="dxa"/>
              <w:end w:w="100" w:type="dxa"/>
            </w:tcMar>
          </w:tcPr>
          <w:p>
            <w:pPr>
              <w:jc w:val="center"/>
            </w:pPr>
            <w:r>
              <w:rPr>
                <w:color w:val="1E293B"/>
                <w:sz w:val="17"/>
              </w:rPr>
              <w:t>Std. deviation of quarterly QoQ revenue growth</w:t>
            </w:r>
          </w:p>
        </w:tc>
        <w:tc>
          <w:tcPr>
            <w:tcW w:type="dxa" w:w="5688"/>
            <w:tcMar>
              <w:top w:w="80" w:type="dxa"/>
              <w:start w:w="100" w:type="dxa"/>
              <w:bottom w:w="80" w:type="dxa"/>
              <w:end w:w="100" w:type="dxa"/>
            </w:tcMar>
          </w:tcPr>
          <w:p>
            <w:pPr>
              <w:jc w:val="center"/>
            </w:pPr>
            <w:r>
              <w:rPr>
                <w:color w:val="1E293B"/>
                <w:sz w:val="17"/>
              </w:rPr>
              <w:t>Describes variation in sequential reported growth.</w:t>
            </w:r>
          </w:p>
        </w:tc>
      </w:tr>
    </w:tbl>
    <w:p>
      <w:pPr>
        <w:pStyle w:val="Heading2"/>
        <w:spacing w:before="100" w:after="100"/>
      </w:pPr>
      <w:r>
        <w:rPr>
          <w:color w:val="007F86"/>
        </w:rPr>
        <w:t>2.3 Source and basis controls</w:t>
      </w:r>
    </w:p>
    <w:p>
      <w:pPr>
        <w:spacing w:after="120" w:line="259" w:lineRule="auto"/>
      </w:pPr>
      <w:r>
        <w:rPr>
          <w:color w:val="1E293B"/>
          <w:sz w:val="19"/>
        </w:rPr>
        <w:t>Issuer investor-relations releases and filings remain the source of record for current-quarter validation. The historical common panel uses the structured public-data extraction layer documented in Week 2. The distinction matters because a standardized field called “operating profit” can differ from an issuer's preferred EBIT or segment operating-margin definition.</w:t>
      </w:r>
    </w:p>
    <w:p>
      <w:pPr>
        <w:spacing w:after="120" w:line="259" w:lineRule="auto"/>
      </w:pPr>
      <w:r>
        <w:rPr>
          <w:color w:val="1E293B"/>
          <w:sz w:val="19"/>
        </w:rPr>
        <w:t>For Wipro specifically, the current issuer-validated margin is the IT Services segment operating margin. It is therefore presented separately from the standardized historical panel margin. The same principle is applied wherever issuer definitions differ.</w:t>
      </w:r>
    </w:p>
    <w:p>
      <w:r>
        <w:br w:type="page"/>
      </w:r>
    </w:p>
    <w:p>
      <w:pPr>
        <w:pStyle w:val="Heading1"/>
        <w:spacing w:before="160" w:after="100"/>
      </w:pPr>
      <w:r>
        <w:rPr>
          <w:b/>
          <w:color w:val="17324D"/>
        </w:rPr>
        <w:t>3. Visualization Analysis</w:t>
      </w:r>
    </w:p>
    <w:p>
      <w:pPr>
        <w:pStyle w:val="Heading2"/>
        <w:spacing w:before="100" w:after="100"/>
      </w:pPr>
      <w:r>
        <w:rPr>
          <w:color w:val="007F86"/>
        </w:rPr>
        <w:t>3.1 Absolute Revenue Trend</w:t>
      </w:r>
    </w:p>
    <w:p>
      <w:r>
        <w:drawing>
          <wp:inline xmlns:a="http://schemas.openxmlformats.org/drawingml/2006/main" xmlns:pic="http://schemas.openxmlformats.org/drawingml/2006/picture">
            <wp:extent cx="6126480" cy="3284379"/>
            <wp:docPr id="1" name="Picture 1"/>
            <wp:cNvGraphicFramePr>
              <a:graphicFrameLocks noChangeAspect="1"/>
            </wp:cNvGraphicFramePr>
            <a:graphic>
              <a:graphicData uri="http://schemas.openxmlformats.org/drawingml/2006/picture">
                <pic:pic>
                  <pic:nvPicPr>
                    <pic:cNvPr id="0" name="01_revenue_trend.png"/>
                    <pic:cNvPicPr/>
                  </pic:nvPicPr>
                  <pic:blipFill>
                    <a:blip r:embed="rId11"/>
                    <a:stretch>
                      <a:fillRect/>
                    </a:stretch>
                  </pic:blipFill>
                  <pic:spPr>
                    <a:xfrm>
                      <a:off x="0" y="0"/>
                      <a:ext cx="6126480" cy="3284379"/>
                    </a:xfrm>
                    <a:prstGeom prst="rect"/>
                  </pic:spPr>
                </pic:pic>
              </a:graphicData>
            </a:graphic>
          </wp:inline>
        </w:drawing>
      </w:r>
    </w:p>
    <w:p>
      <w:pPr>
        <w:jc w:val="center"/>
      </w:pPr>
      <w:r>
        <w:rPr>
          <w:i/>
          <w:color w:val="6B7280"/>
          <w:sz w:val="18"/>
        </w:rPr>
        <w:t>Figure 1. Quarterly revenue trend in the standardized Week 2 panel.</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What the chart shows</w:t>
            </w:r>
          </w:p>
          <w:p>
            <w:pPr>
              <w:spacing w:after="0"/>
            </w:pPr>
            <w:r>
              <w:rPr>
                <w:sz w:val="19"/>
              </w:rPr>
              <w:t>All four issuers end the period above their Q1 FY24 revenue base. TCS has the highest absolute revenue throughout the panel, while HCLTech shows a strong upward trajectory relative to its starting scale. The chart is best used for scale and direction; relative expansion is clearer in the indexed view on the next page.</w:t>
            </w:r>
          </w:p>
        </w:tc>
      </w:tr>
    </w:tbl>
    <w:p>
      <w:pPr>
        <w:pStyle w:val="Heading3"/>
        <w:spacing w:before="100" w:after="100"/>
      </w:pPr>
      <w:r>
        <w:rPr>
          <w:color w:val="007F86"/>
        </w:rPr>
        <w:t>Analytical read-through</w:t>
      </w:r>
    </w:p>
    <w:p>
      <w:pPr>
        <w:spacing w:after="120" w:line="259" w:lineRule="auto"/>
      </w:pPr>
      <w:r>
        <w:rPr>
          <w:color w:val="1E293B"/>
          <w:sz w:val="19"/>
        </w:rPr>
        <w:t>The absolute-scale chart establishes the peer hierarchy in rupee revenue without implying that a larger company automatically has a stronger growth profile. The separation between the lines is primarily a function of starting scale plus subsequent growth. That is why the next visualization resets each company to a common Q1 FY24 index.</w:t>
      </w:r>
    </w:p>
    <w:p>
      <w:r>
        <w:br w:type="page"/>
      </w:r>
    </w:p>
    <w:p>
      <w:pPr>
        <w:pStyle w:val="Heading2"/>
        <w:spacing w:before="100" w:after="100"/>
      </w:pPr>
      <w:r>
        <w:rPr>
          <w:color w:val="007F86"/>
        </w:rPr>
        <w:t>3.2 Relative Revenue Expansion</w:t>
      </w:r>
    </w:p>
    <w:p>
      <w:r>
        <w:drawing>
          <wp:inline xmlns:a="http://schemas.openxmlformats.org/drawingml/2006/main" xmlns:pic="http://schemas.openxmlformats.org/drawingml/2006/picture">
            <wp:extent cx="6126480" cy="3277379"/>
            <wp:docPr id="2" name="Picture 2"/>
            <wp:cNvGraphicFramePr>
              <a:graphicFrameLocks noChangeAspect="1"/>
            </wp:cNvGraphicFramePr>
            <a:graphic>
              <a:graphicData uri="http://schemas.openxmlformats.org/drawingml/2006/picture">
                <pic:pic>
                  <pic:nvPicPr>
                    <pic:cNvPr id="0" name="02_revenue_index.png"/>
                    <pic:cNvPicPr/>
                  </pic:nvPicPr>
                  <pic:blipFill>
                    <a:blip r:embed="rId12"/>
                    <a:stretch>
                      <a:fillRect/>
                    </a:stretch>
                  </pic:blipFill>
                  <pic:spPr>
                    <a:xfrm>
                      <a:off x="0" y="0"/>
                      <a:ext cx="6126480" cy="3277379"/>
                    </a:xfrm>
                    <a:prstGeom prst="rect"/>
                  </pic:spPr>
                </pic:pic>
              </a:graphicData>
            </a:graphic>
          </wp:inline>
        </w:drawing>
      </w:r>
    </w:p>
    <w:p>
      <w:pPr>
        <w:jc w:val="center"/>
      </w:pPr>
      <w:r>
        <w:rPr>
          <w:i/>
          <w:color w:val="6B7280"/>
          <w:sz w:val="18"/>
        </w:rPr>
        <w:t>Figure 2. Revenue indexed to Q1 FY24 = 100.</w:t>
      </w:r>
    </w:p>
    <w:p>
      <w:pPr>
        <w:spacing w:after="120" w:line="259" w:lineRule="auto"/>
      </w:pPr>
      <w:r>
        <w:rPr>
          <w:color w:val="1E293B"/>
          <w:sz w:val="19"/>
        </w:rPr>
        <w:t>TCS: revenue increased 21.7% between Q1 FY24 and Q1 FY27 in the standardized INR panel.</w:t>
      </w:r>
    </w:p>
    <w:p>
      <w:pPr>
        <w:spacing w:after="120" w:line="259" w:lineRule="auto"/>
      </w:pPr>
      <w:r>
        <w:rPr>
          <w:color w:val="1E293B"/>
          <w:sz w:val="19"/>
        </w:rPr>
        <w:t>Infosys: revenue increased 27.1% between Q1 FY24 and Q1 FY27 in the standardized INR panel.</w:t>
      </w:r>
    </w:p>
    <w:p>
      <w:pPr>
        <w:spacing w:after="120" w:line="259" w:lineRule="auto"/>
      </w:pPr>
      <w:r>
        <w:rPr>
          <w:color w:val="1E293B"/>
          <w:sz w:val="19"/>
        </w:rPr>
        <w:t>HCLTech: revenue increased 31.5% between Q1 FY24 and Q1 FY27 in the standardized INR panel.</w:t>
      </w:r>
    </w:p>
    <w:p>
      <w:pPr>
        <w:spacing w:after="120" w:line="259" w:lineRule="auto"/>
      </w:pPr>
      <w:r>
        <w:rPr>
          <w:color w:val="1E293B"/>
          <w:sz w:val="19"/>
        </w:rPr>
        <w:t>Wipro: revenue increased 7.2% between Q1 FY24 and Q1 FY27 in the standardized INR panel.</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Key pattern</w:t>
            </w:r>
          </w:p>
          <w:p>
            <w:pPr>
              <w:spacing w:after="0"/>
            </w:pPr>
            <w:r>
              <w:rPr>
                <w:sz w:val="19"/>
              </w:rPr>
              <w:t>The indexed chart changes the question from “who is larger?” to “who expanded more from the same base?” HCLTech and Infosys show stronger cumulative expansion than TCS over this window, while Wipro's indexed path is materially flatter.</w:t>
            </w:r>
          </w:p>
        </w:tc>
      </w:tr>
    </w:tbl>
    <w:p>
      <w:r>
        <w:br w:type="page"/>
      </w:r>
    </w:p>
    <w:p>
      <w:pPr>
        <w:pStyle w:val="Heading2"/>
        <w:spacing w:before="100" w:after="100"/>
      </w:pPr>
      <w:r>
        <w:rPr>
          <w:color w:val="007F86"/>
        </w:rPr>
        <w:t>3.3 Year-on-Year Revenue Growth</w:t>
      </w:r>
    </w:p>
    <w:p>
      <w:r>
        <w:drawing>
          <wp:inline xmlns:a="http://schemas.openxmlformats.org/drawingml/2006/main" xmlns:pic="http://schemas.openxmlformats.org/drawingml/2006/picture">
            <wp:extent cx="6126480" cy="3269019"/>
            <wp:docPr id="3" name="Picture 3"/>
            <wp:cNvGraphicFramePr>
              <a:graphicFrameLocks noChangeAspect="1"/>
            </wp:cNvGraphicFramePr>
            <a:graphic>
              <a:graphicData uri="http://schemas.openxmlformats.org/drawingml/2006/picture">
                <pic:pic>
                  <pic:nvPicPr>
                    <pic:cNvPr id="0" name="03_yoy_growth.png"/>
                    <pic:cNvPicPr/>
                  </pic:nvPicPr>
                  <pic:blipFill>
                    <a:blip r:embed="rId13"/>
                    <a:stretch>
                      <a:fillRect/>
                    </a:stretch>
                  </pic:blipFill>
                  <pic:spPr>
                    <a:xfrm>
                      <a:off x="0" y="0"/>
                      <a:ext cx="6126480" cy="3269019"/>
                    </a:xfrm>
                    <a:prstGeom prst="rect"/>
                  </pic:spPr>
                </pic:pic>
              </a:graphicData>
            </a:graphic>
          </wp:inline>
        </w:drawing>
      </w:r>
    </w:p>
    <w:p>
      <w:pPr>
        <w:jc w:val="center"/>
      </w:pPr>
      <w:r>
        <w:rPr>
          <w:i/>
          <w:color w:val="6B7280"/>
          <w:sz w:val="18"/>
        </w:rPr>
        <w:t>Figure 3. YoY revenue growth from Q1 FY25 to Q1 FY27, based on INR-reported revenue in the standardized panel.</w:t>
      </w:r>
    </w:p>
    <w:p>
      <w:pPr>
        <w:pStyle w:val="ListBullet"/>
        <w:spacing w:after="60"/>
      </w:pPr>
      <w:r>
        <w:rPr>
          <w:color w:val="1E293B"/>
          <w:sz w:val="19"/>
        </w:rPr>
        <w:t>TCS: Q1 FY27 YoY revenue growth in the standardized INR panel = 13.9%.</w:t>
      </w:r>
    </w:p>
    <w:p>
      <w:pPr>
        <w:pStyle w:val="ListBullet"/>
        <w:spacing w:after="60"/>
      </w:pPr>
      <w:r>
        <w:rPr>
          <w:color w:val="1E293B"/>
          <w:sz w:val="19"/>
        </w:rPr>
        <w:t>Infosys: Q1 FY27 YoY revenue growth in the standardized INR panel = 14.0%.</w:t>
      </w:r>
    </w:p>
    <w:p>
      <w:pPr>
        <w:pStyle w:val="ListBullet"/>
        <w:spacing w:after="60"/>
      </w:pPr>
      <w:r>
        <w:rPr>
          <w:color w:val="1E293B"/>
          <w:sz w:val="19"/>
        </w:rPr>
        <w:t>HCLTech: Q1 FY27 YoY revenue growth in the standardized INR panel = 13.9%.</w:t>
      </w:r>
    </w:p>
    <w:p>
      <w:pPr>
        <w:pStyle w:val="ListBullet"/>
        <w:spacing w:after="60"/>
      </w:pPr>
      <w:r>
        <w:rPr>
          <w:color w:val="1E293B"/>
          <w:sz w:val="19"/>
        </w:rPr>
        <w:t>Wipro: Q1 FY27 YoY revenue growth in the standardized INR panel = 10.6%.</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Basis warning</w:t>
            </w:r>
          </w:p>
          <w:p>
            <w:pPr>
              <w:spacing w:after="0"/>
            </w:pPr>
            <w:r>
              <w:rPr>
                <w:sz w:val="19"/>
              </w:rPr>
              <w:t>The common-panel YoY view is intentionally labelled “INR reporting basis.” Exchange-rate movements can materially affect reported rupee growth for global IT-services companies, so this chart should not be substituted for company-specific constant-currency growth.</w:t>
            </w:r>
          </w:p>
        </w:tc>
      </w:tr>
    </w:tbl>
    <w:p>
      <w:r>
        <w:br w:type="page"/>
      </w:r>
    </w:p>
    <w:p>
      <w:pPr>
        <w:pStyle w:val="Heading2"/>
        <w:spacing w:before="100" w:after="100"/>
      </w:pPr>
      <w:r>
        <w:rPr>
          <w:color w:val="007F86"/>
        </w:rPr>
        <w:t>3.4 Operating Margin Trend — Standardized Panel</w:t>
      </w:r>
    </w:p>
    <w:p>
      <w:r>
        <w:drawing>
          <wp:inline xmlns:a="http://schemas.openxmlformats.org/drawingml/2006/main" xmlns:pic="http://schemas.openxmlformats.org/drawingml/2006/picture">
            <wp:extent cx="6126480" cy="3269019"/>
            <wp:docPr id="4" name="Picture 4"/>
            <wp:cNvGraphicFramePr>
              <a:graphicFrameLocks noChangeAspect="1"/>
            </wp:cNvGraphicFramePr>
            <a:graphic>
              <a:graphicData uri="http://schemas.openxmlformats.org/drawingml/2006/picture">
                <pic:pic>
                  <pic:nvPicPr>
                    <pic:cNvPr id="0" name="04_operating_margin.png"/>
                    <pic:cNvPicPr/>
                  </pic:nvPicPr>
                  <pic:blipFill>
                    <a:blip r:embed="rId14"/>
                    <a:stretch>
                      <a:fillRect/>
                    </a:stretch>
                  </pic:blipFill>
                  <pic:spPr>
                    <a:xfrm>
                      <a:off x="0" y="0"/>
                      <a:ext cx="6126480" cy="3269019"/>
                    </a:xfrm>
                    <a:prstGeom prst="rect"/>
                  </pic:spPr>
                </pic:pic>
              </a:graphicData>
            </a:graphic>
          </wp:inline>
        </w:drawing>
      </w:r>
    </w:p>
    <w:p>
      <w:pPr>
        <w:jc w:val="center"/>
      </w:pPr>
      <w:r>
        <w:rPr>
          <w:i/>
          <w:color w:val="6B7280"/>
          <w:sz w:val="18"/>
        </w:rPr>
        <w:t>Figure 4. Operating margin derived from the standardized Week 2 operating-profit field.</w:t>
      </w:r>
    </w:p>
    <w:p>
      <w:pPr>
        <w:pStyle w:val="ListBullet"/>
        <w:spacing w:after="60"/>
      </w:pPr>
      <w:r>
        <w:rPr>
          <w:color w:val="1E293B"/>
          <w:sz w:val="19"/>
        </w:rPr>
        <w:t>TCS: average standardized-panel operating margin across 13 quarters = 26.6%.</w:t>
      </w:r>
    </w:p>
    <w:p>
      <w:pPr>
        <w:pStyle w:val="ListBullet"/>
        <w:spacing w:after="60"/>
      </w:pPr>
      <w:r>
        <w:rPr>
          <w:color w:val="1E293B"/>
          <w:sz w:val="19"/>
        </w:rPr>
        <w:t>Infosys: average standardized-panel operating margin across 13 quarters = 23.8%.</w:t>
      </w:r>
    </w:p>
    <w:p>
      <w:pPr>
        <w:pStyle w:val="ListBullet"/>
        <w:spacing w:after="60"/>
      </w:pPr>
      <w:r>
        <w:rPr>
          <w:color w:val="1E293B"/>
          <w:sz w:val="19"/>
        </w:rPr>
        <w:t>HCLTech: average standardized-panel operating margin across 13 quarters = 21.3%.</w:t>
      </w:r>
    </w:p>
    <w:p>
      <w:pPr>
        <w:pStyle w:val="ListBullet"/>
        <w:spacing w:after="60"/>
      </w:pPr>
      <w:r>
        <w:rPr>
          <w:color w:val="1E293B"/>
          <w:sz w:val="19"/>
        </w:rPr>
        <w:t>Wipro: average standardized-panel operating margin across 13 quarters = 19.3%.</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Interpretation boundary</w:t>
            </w:r>
          </w:p>
          <w:p>
            <w:pPr>
              <w:spacing w:after="0"/>
            </w:pPr>
            <w:r>
              <w:rPr>
                <w:sz w:val="19"/>
              </w:rPr>
              <w:t>This chart is appropriate for trend inspection within the standardized dataset. It should not be used to directly reproduce the issuer-reported Q1 FY27 EBIT or IT Services margin snapshot because definitions and adjustments differ across reporting frameworks.</w:t>
            </w:r>
          </w:p>
        </w:tc>
      </w:tr>
    </w:tbl>
    <w:p>
      <w:r>
        <w:br w:type="page"/>
      </w:r>
    </w:p>
    <w:p>
      <w:pPr>
        <w:pStyle w:val="Heading2"/>
        <w:spacing w:before="100" w:after="100"/>
      </w:pPr>
      <w:r>
        <w:rPr>
          <w:color w:val="007F86"/>
        </w:rPr>
        <w:t>3.5 Net Margin Trend</w:t>
      </w:r>
    </w:p>
    <w:p>
      <w:r>
        <w:drawing>
          <wp:inline xmlns:a="http://schemas.openxmlformats.org/drawingml/2006/main" xmlns:pic="http://schemas.openxmlformats.org/drawingml/2006/picture">
            <wp:extent cx="6126480" cy="3269019"/>
            <wp:docPr id="5" name="Picture 5"/>
            <wp:cNvGraphicFramePr>
              <a:graphicFrameLocks noChangeAspect="1"/>
            </wp:cNvGraphicFramePr>
            <a:graphic>
              <a:graphicData uri="http://schemas.openxmlformats.org/drawingml/2006/picture">
                <pic:pic>
                  <pic:nvPicPr>
                    <pic:cNvPr id="0" name="05_net_margin.png"/>
                    <pic:cNvPicPr/>
                  </pic:nvPicPr>
                  <pic:blipFill>
                    <a:blip r:embed="rId15"/>
                    <a:stretch>
                      <a:fillRect/>
                    </a:stretch>
                  </pic:blipFill>
                  <pic:spPr>
                    <a:xfrm>
                      <a:off x="0" y="0"/>
                      <a:ext cx="6126480" cy="3269019"/>
                    </a:xfrm>
                    <a:prstGeom prst="rect"/>
                  </pic:spPr>
                </pic:pic>
              </a:graphicData>
            </a:graphic>
          </wp:inline>
        </w:drawing>
      </w:r>
    </w:p>
    <w:p>
      <w:pPr>
        <w:jc w:val="center"/>
      </w:pPr>
      <w:r>
        <w:rPr>
          <w:i/>
          <w:color w:val="6B7280"/>
          <w:sz w:val="18"/>
        </w:rPr>
        <w:t>Figure 5. Net margin derived from the standardized Week 2 net-profit and revenue fields.</w:t>
      </w:r>
    </w:p>
    <w:p>
      <w:pPr>
        <w:pStyle w:val="ListBullet"/>
        <w:spacing w:after="60"/>
      </w:pPr>
      <w:r>
        <w:rPr>
          <w:color w:val="1E293B"/>
          <w:sz w:val="19"/>
        </w:rPr>
        <w:t>TCS: average standardized-panel net margin across 13 quarters = 18.9%; Q1 FY27 = 18.6%.</w:t>
      </w:r>
    </w:p>
    <w:p>
      <w:pPr>
        <w:pStyle w:val="ListBullet"/>
        <w:spacing w:after="60"/>
      </w:pPr>
      <w:r>
        <w:rPr>
          <w:color w:val="1E293B"/>
          <w:sz w:val="19"/>
        </w:rPr>
        <w:t>Infosys: average standardized-panel net margin across 13 quarters = 16.6%; Q1 FY27 = 16.1%.</w:t>
      </w:r>
    </w:p>
    <w:p>
      <w:pPr>
        <w:pStyle w:val="ListBullet"/>
        <w:spacing w:after="60"/>
      </w:pPr>
      <w:r>
        <w:rPr>
          <w:color w:val="1E293B"/>
          <w:sz w:val="19"/>
        </w:rPr>
        <w:t>HCLTech: average standardized-panel net margin across 13 quarters = 13.9%; Q1 FY27 = 13.4%.</w:t>
      </w:r>
    </w:p>
    <w:p>
      <w:pPr>
        <w:pStyle w:val="ListBullet"/>
        <w:spacing w:after="60"/>
      </w:pPr>
      <w:r>
        <w:rPr>
          <w:color w:val="1E293B"/>
          <w:sz w:val="19"/>
        </w:rPr>
        <w:t>Wipro: average standardized-panel net margin across 13 quarters = 13.8%; Q1 FY27 = 13.7%.</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Analytical read-through</w:t>
            </w:r>
          </w:p>
          <w:p>
            <w:pPr>
              <w:spacing w:after="0"/>
            </w:pPr>
            <w:r>
              <w:rPr>
                <w:sz w:val="19"/>
              </w:rPr>
              <w:t>The net-margin series adds a bottom-line lens to the operating-margin analysis. Period-to-period movement can reflect factors beyond core delivery efficiency, including other income, exceptional items, tax effects and reporting adjustments; visual interpretation therefore remains descriptive rather than causal.</w:t>
            </w:r>
          </w:p>
        </w:tc>
      </w:tr>
    </w:tbl>
    <w:p>
      <w:r>
        <w:br w:type="page"/>
      </w:r>
    </w:p>
    <w:p>
      <w:pPr>
        <w:pStyle w:val="Heading1"/>
        <w:spacing w:before="160" w:after="100"/>
      </w:pPr>
      <w:r>
        <w:rPr>
          <w:b/>
          <w:color w:val="17324D"/>
        </w:rPr>
        <w:t>4. Q1 FY27 Current Issuer Snapshot</w:t>
      </w:r>
    </w:p>
    <w:p>
      <w:pPr>
        <w:spacing w:after="120" w:line="259" w:lineRule="auto"/>
      </w:pPr>
      <w:r>
        <w:rPr>
          <w:color w:val="1E293B"/>
          <w:sz w:val="19"/>
        </w:rPr>
        <w:t>The historical panel is complemented by a separate current-quarter snapshot using issuer-validated Q1 FY27 disclosures. This prevents the current quarter from inheriting a secondary-series figure when the issuer has published a directly verifiable value.</w:t>
      </w:r>
    </w:p>
    <w:p>
      <w:r>
        <w:drawing>
          <wp:inline xmlns:a="http://schemas.openxmlformats.org/drawingml/2006/main" xmlns:pic="http://schemas.openxmlformats.org/drawingml/2006/picture">
            <wp:extent cx="5989320" cy="3399192"/>
            <wp:docPr id="6" name="Picture 6"/>
            <wp:cNvGraphicFramePr>
              <a:graphicFrameLocks noChangeAspect="1"/>
            </wp:cNvGraphicFramePr>
            <a:graphic>
              <a:graphicData uri="http://schemas.openxmlformats.org/drawingml/2006/picture">
                <pic:pic>
                  <pic:nvPicPr>
                    <pic:cNvPr id="0" name="06_q1fy27_revenue.png"/>
                    <pic:cNvPicPr/>
                  </pic:nvPicPr>
                  <pic:blipFill>
                    <a:blip r:embed="rId16"/>
                    <a:stretch>
                      <a:fillRect/>
                    </a:stretch>
                  </pic:blipFill>
                  <pic:spPr>
                    <a:xfrm>
                      <a:off x="0" y="0"/>
                      <a:ext cx="5989320" cy="3399192"/>
                    </a:xfrm>
                    <a:prstGeom prst="rect"/>
                  </pic:spPr>
                </pic:pic>
              </a:graphicData>
            </a:graphic>
          </wp:inline>
        </w:drawing>
      </w:r>
    </w:p>
    <w:p>
      <w:pPr>
        <w:jc w:val="center"/>
      </w:pPr>
      <w:r>
        <w:rPr>
          <w:i/>
          <w:color w:val="6B7280"/>
          <w:sz w:val="18"/>
        </w:rPr>
        <w:t>Figure 6. Q1 FY27 revenue snapshot from issuer-validated current data.</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24D"/>
            <w:tcMar>
              <w:top w:w="80" w:type="dxa"/>
              <w:start w:w="100" w:type="dxa"/>
              <w:bottom w:w="80" w:type="dxa"/>
              <w:end w:w="100" w:type="dxa"/>
            </w:tcMar>
          </w:tcPr>
          <w:p>
            <w:pPr>
              <w:jc w:val="center"/>
            </w:pPr>
            <w:r>
              <w:rPr>
                <w:b/>
                <w:color w:val="FFFFFF"/>
                <w:sz w:val="16"/>
              </w:rPr>
              <w:t>Company</w:t>
            </w:r>
          </w:p>
        </w:tc>
        <w:tc>
          <w:tcPr>
            <w:tcW w:type="dxa" w:w="1584"/>
            <w:shd w:fill="17324D"/>
            <w:tcMar>
              <w:top w:w="80" w:type="dxa"/>
              <w:start w:w="100" w:type="dxa"/>
              <w:bottom w:w="80" w:type="dxa"/>
              <w:end w:w="100" w:type="dxa"/>
            </w:tcMar>
          </w:tcPr>
          <w:p>
            <w:pPr>
              <w:jc w:val="center"/>
            </w:pPr>
            <w:r>
              <w:rPr>
                <w:b/>
                <w:color w:val="FFFFFF"/>
                <w:sz w:val="16"/>
              </w:rPr>
              <w:t>Revenue (₹ Cr)</w:t>
            </w:r>
          </w:p>
        </w:tc>
        <w:tc>
          <w:tcPr>
            <w:tcW w:type="dxa" w:w="3240"/>
            <w:shd w:fill="17324D"/>
            <w:tcMar>
              <w:top w:w="80" w:type="dxa"/>
              <w:start w:w="100" w:type="dxa"/>
              <w:bottom w:w="80" w:type="dxa"/>
              <w:end w:w="100" w:type="dxa"/>
            </w:tcMar>
          </w:tcPr>
          <w:p>
            <w:pPr>
              <w:jc w:val="center"/>
            </w:pPr>
            <w:r>
              <w:rPr>
                <w:b/>
                <w:color w:val="FFFFFF"/>
                <w:sz w:val="16"/>
              </w:rPr>
              <w:t>Growth / reporting basis</w:t>
            </w:r>
          </w:p>
        </w:tc>
        <w:tc>
          <w:tcPr>
            <w:tcW w:type="dxa" w:w="1080"/>
            <w:shd w:fill="17324D"/>
            <w:tcMar>
              <w:top w:w="80" w:type="dxa"/>
              <w:start w:w="100" w:type="dxa"/>
              <w:bottom w:w="80" w:type="dxa"/>
              <w:end w:w="100" w:type="dxa"/>
            </w:tcMar>
          </w:tcPr>
          <w:p>
            <w:pPr>
              <w:jc w:val="center"/>
            </w:pPr>
            <w:r>
              <w:rPr>
                <w:b/>
                <w:color w:val="FFFFFF"/>
                <w:sz w:val="16"/>
              </w:rPr>
              <w:t>Margin</w:t>
            </w:r>
          </w:p>
        </w:tc>
        <w:tc>
          <w:tcPr>
            <w:tcW w:type="dxa" w:w="4320"/>
            <w:shd w:fill="17324D"/>
            <w:tcMar>
              <w:top w:w="80" w:type="dxa"/>
              <w:start w:w="100" w:type="dxa"/>
              <w:bottom w:w="80" w:type="dxa"/>
              <w:end w:w="100" w:type="dxa"/>
            </w:tcMar>
          </w:tcPr>
          <w:p>
            <w:pPr>
              <w:jc w:val="center"/>
            </w:pPr>
            <w:r>
              <w:rPr>
                <w:b/>
                <w:color w:val="FFFFFF"/>
                <w:sz w:val="16"/>
              </w:rPr>
              <w:t>Margin basis</w:t>
            </w:r>
          </w:p>
        </w:tc>
      </w:tr>
      <w:tr>
        <w:tc>
          <w:tcPr>
            <w:tcW w:type="dxa" w:w="1440"/>
            <w:tcMar>
              <w:top w:w="80" w:type="dxa"/>
              <w:start w:w="100" w:type="dxa"/>
              <w:bottom w:w="80" w:type="dxa"/>
              <w:end w:w="100" w:type="dxa"/>
            </w:tcMar>
            <w:shd w:fill="F7FAFC"/>
          </w:tcPr>
          <w:p>
            <w:pPr>
              <w:jc w:val="left"/>
            </w:pPr>
            <w:r>
              <w:rPr>
                <w:color w:val="1E293B"/>
                <w:sz w:val="16"/>
              </w:rPr>
              <w:t>TCS</w:t>
            </w:r>
          </w:p>
        </w:tc>
        <w:tc>
          <w:tcPr>
            <w:tcW w:type="dxa" w:w="1584"/>
            <w:tcMar>
              <w:top w:w="80" w:type="dxa"/>
              <w:start w:w="100" w:type="dxa"/>
              <w:bottom w:w="80" w:type="dxa"/>
              <w:end w:w="100" w:type="dxa"/>
            </w:tcMar>
            <w:shd w:fill="F7FAFC"/>
          </w:tcPr>
          <w:p>
            <w:pPr>
              <w:jc w:val="center"/>
            </w:pPr>
            <w:r>
              <w:rPr>
                <w:color w:val="1E293B"/>
                <w:sz w:val="16"/>
              </w:rPr>
              <w:t>72,275</w:t>
            </w:r>
          </w:p>
        </w:tc>
        <w:tc>
          <w:tcPr>
            <w:tcW w:type="dxa" w:w="3240"/>
            <w:tcMar>
              <w:top w:w="80" w:type="dxa"/>
              <w:start w:w="100" w:type="dxa"/>
              <w:bottom w:w="80" w:type="dxa"/>
              <w:end w:w="100" w:type="dxa"/>
            </w:tcMar>
            <w:shd w:fill="F7FAFC"/>
          </w:tcPr>
          <w:p>
            <w:pPr>
              <w:jc w:val="center"/>
            </w:pPr>
            <w:r>
              <w:rPr>
                <w:color w:val="1E293B"/>
                <w:sz w:val="16"/>
              </w:rPr>
              <w:t>3.2% YoY constant currency</w:t>
            </w:r>
          </w:p>
        </w:tc>
        <w:tc>
          <w:tcPr>
            <w:tcW w:type="dxa" w:w="1080"/>
            <w:tcMar>
              <w:top w:w="80" w:type="dxa"/>
              <w:start w:w="100" w:type="dxa"/>
              <w:bottom w:w="80" w:type="dxa"/>
              <w:end w:w="100" w:type="dxa"/>
            </w:tcMar>
            <w:shd w:fill="F7FAFC"/>
          </w:tcPr>
          <w:p>
            <w:pPr>
              <w:jc w:val="center"/>
            </w:pPr>
            <w:r>
              <w:rPr>
                <w:color w:val="1E293B"/>
                <w:sz w:val="16"/>
              </w:rPr>
              <w:t>24.0%</w:t>
            </w:r>
          </w:p>
        </w:tc>
        <w:tc>
          <w:tcPr>
            <w:tcW w:type="dxa" w:w="4320"/>
            <w:tcMar>
              <w:top w:w="80" w:type="dxa"/>
              <w:start w:w="100" w:type="dxa"/>
              <w:bottom w:w="80" w:type="dxa"/>
              <w:end w:w="100" w:type="dxa"/>
            </w:tcMar>
            <w:shd w:fill="F7FAFC"/>
          </w:tcPr>
          <w:p>
            <w:pPr>
              <w:jc w:val="center"/>
            </w:pPr>
            <w:r>
              <w:rPr>
                <w:color w:val="1E293B"/>
                <w:sz w:val="16"/>
              </w:rPr>
              <w:t>Consolidated; excludes exceptional item</w:t>
            </w:r>
          </w:p>
        </w:tc>
      </w:tr>
      <w:tr>
        <w:tc>
          <w:tcPr>
            <w:tcW w:type="dxa" w:w="1440"/>
            <w:tcMar>
              <w:top w:w="80" w:type="dxa"/>
              <w:start w:w="100" w:type="dxa"/>
              <w:bottom w:w="80" w:type="dxa"/>
              <w:end w:w="100" w:type="dxa"/>
            </w:tcMar>
          </w:tcPr>
          <w:p>
            <w:pPr>
              <w:jc w:val="left"/>
            </w:pPr>
            <w:r>
              <w:rPr>
                <w:color w:val="1E293B"/>
                <w:sz w:val="16"/>
              </w:rPr>
              <w:t>Infosys</w:t>
            </w:r>
          </w:p>
        </w:tc>
        <w:tc>
          <w:tcPr>
            <w:tcW w:type="dxa" w:w="1584"/>
            <w:tcMar>
              <w:top w:w="80" w:type="dxa"/>
              <w:start w:w="100" w:type="dxa"/>
              <w:bottom w:w="80" w:type="dxa"/>
              <w:end w:w="100" w:type="dxa"/>
            </w:tcMar>
          </w:tcPr>
          <w:p>
            <w:pPr>
              <w:jc w:val="center"/>
            </w:pPr>
            <w:r>
              <w:rPr>
                <w:color w:val="1E293B"/>
                <w:sz w:val="16"/>
              </w:rPr>
              <w:t>48,211</w:t>
            </w:r>
          </w:p>
        </w:tc>
        <w:tc>
          <w:tcPr>
            <w:tcW w:type="dxa" w:w="3240"/>
            <w:tcMar>
              <w:top w:w="80" w:type="dxa"/>
              <w:start w:w="100" w:type="dxa"/>
              <w:bottom w:w="80" w:type="dxa"/>
              <w:end w:w="100" w:type="dxa"/>
            </w:tcMar>
          </w:tcPr>
          <w:p>
            <w:pPr>
              <w:jc w:val="center"/>
            </w:pPr>
            <w:r>
              <w:rPr>
                <w:color w:val="1E293B"/>
                <w:sz w:val="16"/>
              </w:rPr>
              <w:t>14.0% YoY INR</w:t>
            </w:r>
          </w:p>
        </w:tc>
        <w:tc>
          <w:tcPr>
            <w:tcW w:type="dxa" w:w="1080"/>
            <w:tcMar>
              <w:top w:w="80" w:type="dxa"/>
              <w:start w:w="100" w:type="dxa"/>
              <w:bottom w:w="80" w:type="dxa"/>
              <w:end w:w="100" w:type="dxa"/>
            </w:tcMar>
          </w:tcPr>
          <w:p>
            <w:pPr>
              <w:jc w:val="center"/>
            </w:pPr>
            <w:r>
              <w:rPr>
                <w:color w:val="1E293B"/>
                <w:sz w:val="16"/>
              </w:rPr>
              <w:t>21.1%</w:t>
            </w:r>
          </w:p>
        </w:tc>
        <w:tc>
          <w:tcPr>
            <w:tcW w:type="dxa" w:w="4320"/>
            <w:tcMar>
              <w:top w:w="80" w:type="dxa"/>
              <w:start w:w="100" w:type="dxa"/>
              <w:bottom w:w="80" w:type="dxa"/>
              <w:end w:w="100" w:type="dxa"/>
            </w:tcMar>
          </w:tcPr>
          <w:p>
            <w:pPr>
              <w:jc w:val="center"/>
            </w:pPr>
            <w:r>
              <w:rPr>
                <w:color w:val="1E293B"/>
                <w:sz w:val="16"/>
              </w:rPr>
              <w:t>Issuer operating margin</w:t>
            </w:r>
          </w:p>
        </w:tc>
      </w:tr>
      <w:tr>
        <w:tc>
          <w:tcPr>
            <w:tcW w:type="dxa" w:w="1440"/>
            <w:tcMar>
              <w:top w:w="80" w:type="dxa"/>
              <w:start w:w="100" w:type="dxa"/>
              <w:bottom w:w="80" w:type="dxa"/>
              <w:end w:w="100" w:type="dxa"/>
            </w:tcMar>
            <w:shd w:fill="F7FAFC"/>
          </w:tcPr>
          <w:p>
            <w:pPr>
              <w:jc w:val="left"/>
            </w:pPr>
            <w:r>
              <w:rPr>
                <w:color w:val="1E293B"/>
                <w:sz w:val="16"/>
              </w:rPr>
              <w:t>HCLTech</w:t>
            </w:r>
          </w:p>
        </w:tc>
        <w:tc>
          <w:tcPr>
            <w:tcW w:type="dxa" w:w="1584"/>
            <w:tcMar>
              <w:top w:w="80" w:type="dxa"/>
              <w:start w:w="100" w:type="dxa"/>
              <w:bottom w:w="80" w:type="dxa"/>
              <w:end w:w="100" w:type="dxa"/>
            </w:tcMar>
            <w:shd w:fill="F7FAFC"/>
          </w:tcPr>
          <w:p>
            <w:pPr>
              <w:jc w:val="center"/>
            </w:pPr>
            <w:r>
              <w:rPr>
                <w:color w:val="1E293B"/>
                <w:sz w:val="16"/>
              </w:rPr>
              <w:t>34,579</w:t>
            </w:r>
          </w:p>
        </w:tc>
        <w:tc>
          <w:tcPr>
            <w:tcW w:type="dxa" w:w="3240"/>
            <w:tcMar>
              <w:top w:w="80" w:type="dxa"/>
              <w:start w:w="100" w:type="dxa"/>
              <w:bottom w:w="80" w:type="dxa"/>
              <w:end w:w="100" w:type="dxa"/>
            </w:tcMar>
            <w:shd w:fill="F7FAFC"/>
          </w:tcPr>
          <w:p>
            <w:pPr>
              <w:jc w:val="center"/>
            </w:pPr>
            <w:r>
              <w:rPr>
                <w:color w:val="1E293B"/>
                <w:sz w:val="16"/>
              </w:rPr>
              <w:t>2.6% YoY constant currency</w:t>
            </w:r>
          </w:p>
        </w:tc>
        <w:tc>
          <w:tcPr>
            <w:tcW w:type="dxa" w:w="1080"/>
            <w:tcMar>
              <w:top w:w="80" w:type="dxa"/>
              <w:start w:w="100" w:type="dxa"/>
              <w:bottom w:w="80" w:type="dxa"/>
              <w:end w:w="100" w:type="dxa"/>
            </w:tcMar>
            <w:shd w:fill="F7FAFC"/>
          </w:tcPr>
          <w:p>
            <w:pPr>
              <w:jc w:val="center"/>
            </w:pPr>
            <w:r>
              <w:rPr>
                <w:color w:val="1E293B"/>
                <w:sz w:val="16"/>
              </w:rPr>
              <w:t>16.9%</w:t>
            </w:r>
          </w:p>
        </w:tc>
        <w:tc>
          <w:tcPr>
            <w:tcW w:type="dxa" w:w="4320"/>
            <w:tcMar>
              <w:top w:w="80" w:type="dxa"/>
              <w:start w:w="100" w:type="dxa"/>
              <w:bottom w:w="80" w:type="dxa"/>
              <w:end w:w="100" w:type="dxa"/>
            </w:tcMar>
            <w:shd w:fill="F7FAFC"/>
          </w:tcPr>
          <w:p>
            <w:pPr>
              <w:jc w:val="center"/>
            </w:pPr>
            <w:r>
              <w:rPr>
                <w:color w:val="1E293B"/>
                <w:sz w:val="16"/>
              </w:rPr>
              <w:t>Issuer EBIT margin; includes restructuring impact</w:t>
            </w:r>
          </w:p>
        </w:tc>
      </w:tr>
      <w:tr>
        <w:tc>
          <w:tcPr>
            <w:tcW w:type="dxa" w:w="1440"/>
            <w:tcMar>
              <w:top w:w="80" w:type="dxa"/>
              <w:start w:w="100" w:type="dxa"/>
              <w:bottom w:w="80" w:type="dxa"/>
              <w:end w:w="100" w:type="dxa"/>
            </w:tcMar>
          </w:tcPr>
          <w:p>
            <w:pPr>
              <w:jc w:val="left"/>
            </w:pPr>
            <w:r>
              <w:rPr>
                <w:color w:val="1E293B"/>
                <w:sz w:val="16"/>
              </w:rPr>
              <w:t>Wipro</w:t>
            </w:r>
          </w:p>
        </w:tc>
        <w:tc>
          <w:tcPr>
            <w:tcW w:type="dxa" w:w="1584"/>
            <w:tcMar>
              <w:top w:w="80" w:type="dxa"/>
              <w:start w:w="100" w:type="dxa"/>
              <w:bottom w:w="80" w:type="dxa"/>
              <w:end w:w="100" w:type="dxa"/>
            </w:tcMar>
          </w:tcPr>
          <w:p>
            <w:pPr>
              <w:jc w:val="center"/>
            </w:pPr>
            <w:r>
              <w:rPr>
                <w:color w:val="1E293B"/>
                <w:sz w:val="16"/>
              </w:rPr>
              <w:t>24,480</w:t>
            </w:r>
          </w:p>
        </w:tc>
        <w:tc>
          <w:tcPr>
            <w:tcW w:type="dxa" w:w="3240"/>
            <w:tcMar>
              <w:top w:w="80" w:type="dxa"/>
              <w:start w:w="100" w:type="dxa"/>
              <w:bottom w:w="80" w:type="dxa"/>
              <w:end w:w="100" w:type="dxa"/>
            </w:tcMar>
          </w:tcPr>
          <w:p>
            <w:pPr>
              <w:jc w:val="center"/>
            </w:pPr>
            <w:r>
              <w:rPr>
                <w:color w:val="1E293B"/>
                <w:sz w:val="16"/>
              </w:rPr>
              <w:t>0.9% YoY constant currency (IT Services)</w:t>
            </w:r>
          </w:p>
        </w:tc>
        <w:tc>
          <w:tcPr>
            <w:tcW w:type="dxa" w:w="1080"/>
            <w:tcMar>
              <w:top w:w="80" w:type="dxa"/>
              <w:start w:w="100" w:type="dxa"/>
              <w:bottom w:w="80" w:type="dxa"/>
              <w:end w:w="100" w:type="dxa"/>
            </w:tcMar>
          </w:tcPr>
          <w:p>
            <w:pPr>
              <w:jc w:val="center"/>
            </w:pPr>
            <w:r>
              <w:rPr>
                <w:color w:val="1E293B"/>
                <w:sz w:val="16"/>
              </w:rPr>
              <w:t>16.0%</w:t>
            </w:r>
          </w:p>
        </w:tc>
        <w:tc>
          <w:tcPr>
            <w:tcW w:type="dxa" w:w="4320"/>
            <w:tcMar>
              <w:top w:w="80" w:type="dxa"/>
              <w:start w:w="100" w:type="dxa"/>
              <w:bottom w:w="80" w:type="dxa"/>
              <w:end w:w="100" w:type="dxa"/>
            </w:tcMar>
          </w:tcPr>
          <w:p>
            <w:pPr>
              <w:jc w:val="center"/>
            </w:pPr>
            <w:r>
              <w:rPr>
                <w:color w:val="1E293B"/>
                <w:sz w:val="16"/>
              </w:rPr>
              <w:t>IT Services segment operating margin</w:t>
            </w:r>
          </w:p>
        </w:tc>
      </w:tr>
    </w:tbl>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Current-quarter read-through</w:t>
            </w:r>
          </w:p>
          <w:p>
            <w:pPr>
              <w:spacing w:after="0"/>
            </w:pPr>
            <w:r>
              <w:rPr>
                <w:sz w:val="19"/>
              </w:rPr>
              <w:t>Q1 FY27 issuer data confirms the scale ordering visible in the historical panel. The margin comparison is presented on issuer-defined bases: TCS consolidated operating margin, Infosys operating margin, HCLTech EBIT margin, and Wipro IT Services operating margin.</w:t>
            </w:r>
          </w:p>
        </w:tc>
      </w:tr>
    </w:tbl>
    <w:p>
      <w:pPr>
        <w:pStyle w:val="Heading1"/>
        <w:spacing w:before="160" w:after="100"/>
      </w:pPr>
      <w:r>
        <w:rPr>
          <w:b/>
          <w:color w:val="17324D"/>
        </w:rPr>
        <w:t>5. Current Margin View and Growth Volatility</w:t>
      </w:r>
    </w:p>
    <w:p>
      <w:r>
        <w:drawing>
          <wp:inline xmlns:a="http://schemas.openxmlformats.org/drawingml/2006/main" xmlns:pic="http://schemas.openxmlformats.org/drawingml/2006/picture">
            <wp:extent cx="5989320" cy="3399192"/>
            <wp:docPr id="7" name="Picture 7"/>
            <wp:cNvGraphicFramePr>
              <a:graphicFrameLocks noChangeAspect="1"/>
            </wp:cNvGraphicFramePr>
            <a:graphic>
              <a:graphicData uri="http://schemas.openxmlformats.org/drawingml/2006/picture">
                <pic:pic>
                  <pic:nvPicPr>
                    <pic:cNvPr id="0" name="07_q1fy27_margin.png"/>
                    <pic:cNvPicPr/>
                  </pic:nvPicPr>
                  <pic:blipFill>
                    <a:blip r:embed="rId17"/>
                    <a:stretch>
                      <a:fillRect/>
                    </a:stretch>
                  </pic:blipFill>
                  <pic:spPr>
                    <a:xfrm>
                      <a:off x="0" y="0"/>
                      <a:ext cx="5989320" cy="3399192"/>
                    </a:xfrm>
                    <a:prstGeom prst="rect"/>
                  </pic:spPr>
                </pic:pic>
              </a:graphicData>
            </a:graphic>
          </wp:inline>
        </w:drawing>
      </w:r>
    </w:p>
    <w:p>
      <w:pPr>
        <w:jc w:val="center"/>
      </w:pPr>
      <w:r>
        <w:rPr>
          <w:i/>
          <w:color w:val="6B7280"/>
          <w:sz w:val="18"/>
        </w:rPr>
        <w:t>Figure 7. Q1 FY27 issuer-reported operating/EBIT margin snapshot; Wipro is IT Services.</w:t>
      </w:r>
    </w:p>
    <w:p>
      <w:pPr>
        <w:spacing w:after="120" w:line="259" w:lineRule="auto"/>
      </w:pPr>
      <w:r>
        <w:rPr>
          <w:color w:val="1E293B"/>
          <w:sz w:val="19"/>
        </w:rPr>
        <w:t>The current issuer snapshot shows why basis labels matter. Wipro's 16.0% figure is specifically the IT Services segment operating margin; HCLTech's 16.9% is issuer-reported EBIT margin; TCS reports a 24.0% consolidated operating margin excluding the exceptional item; and Infosys reports a 21.1% operating margin.</w:t>
      </w:r>
    </w:p>
    <w:p>
      <w:pPr>
        <w:pStyle w:val="Heading2"/>
        <w:spacing w:before="100" w:after="100"/>
      </w:pPr>
      <w:r>
        <w:rPr>
          <w:color w:val="007F86"/>
        </w:rPr>
        <w:t>5.1 Quarterly revenue-growth volatility</w:t>
      </w:r>
    </w:p>
    <w:p>
      <w:r>
        <w:drawing>
          <wp:inline xmlns:a="http://schemas.openxmlformats.org/drawingml/2006/main" xmlns:pic="http://schemas.openxmlformats.org/drawingml/2006/picture">
            <wp:extent cx="5989320" cy="3399192"/>
            <wp:docPr id="8" name="Picture 8"/>
            <wp:cNvGraphicFramePr>
              <a:graphicFrameLocks noChangeAspect="1"/>
            </wp:cNvGraphicFramePr>
            <a:graphic>
              <a:graphicData uri="http://schemas.openxmlformats.org/drawingml/2006/picture">
                <pic:pic>
                  <pic:nvPicPr>
                    <pic:cNvPr id="0" name="08_growth_volatility.png"/>
                    <pic:cNvPicPr/>
                  </pic:nvPicPr>
                  <pic:blipFill>
                    <a:blip r:embed="rId18"/>
                    <a:stretch>
                      <a:fillRect/>
                    </a:stretch>
                  </pic:blipFill>
                  <pic:spPr>
                    <a:xfrm>
                      <a:off x="0" y="0"/>
                      <a:ext cx="5989320" cy="3399192"/>
                    </a:xfrm>
                    <a:prstGeom prst="rect"/>
                  </pic:spPr>
                </pic:pic>
              </a:graphicData>
            </a:graphic>
          </wp:inline>
        </w:drawing>
      </w:r>
    </w:p>
    <w:p>
      <w:pPr>
        <w:jc w:val="center"/>
      </w:pPr>
      <w:r>
        <w:rPr>
          <w:i/>
          <w:color w:val="6B7280"/>
          <w:sz w:val="18"/>
        </w:rPr>
        <w:t>Figure 8. Standard deviation of QoQ revenue growth in the 13-quarter panel.</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84"/>
            <w:shd w:fill="17324D"/>
            <w:tcMar>
              <w:top w:w="80" w:type="dxa"/>
              <w:start w:w="100" w:type="dxa"/>
              <w:bottom w:w="80" w:type="dxa"/>
              <w:end w:w="100" w:type="dxa"/>
            </w:tcMar>
          </w:tcPr>
          <w:p>
            <w:pPr>
              <w:jc w:val="center"/>
            </w:pPr>
            <w:r>
              <w:rPr>
                <w:b/>
                <w:color w:val="FFFFFF"/>
                <w:sz w:val="16"/>
              </w:rPr>
              <w:t>Company</w:t>
            </w:r>
          </w:p>
        </w:tc>
        <w:tc>
          <w:tcPr>
            <w:tcW w:type="dxa" w:w="1944"/>
            <w:shd w:fill="17324D"/>
            <w:tcMar>
              <w:top w:w="80" w:type="dxa"/>
              <w:start w:w="100" w:type="dxa"/>
              <w:bottom w:w="80" w:type="dxa"/>
              <w:end w:w="100" w:type="dxa"/>
            </w:tcMar>
          </w:tcPr>
          <w:p>
            <w:pPr>
              <w:jc w:val="center"/>
            </w:pPr>
            <w:r>
              <w:rPr>
                <w:b/>
                <w:color w:val="FFFFFF"/>
                <w:sz w:val="16"/>
              </w:rPr>
              <w:t>Avg QoQ growth</w:t>
            </w:r>
          </w:p>
        </w:tc>
        <w:tc>
          <w:tcPr>
            <w:tcW w:type="dxa" w:w="1728"/>
            <w:shd w:fill="17324D"/>
            <w:tcMar>
              <w:top w:w="80" w:type="dxa"/>
              <w:start w:w="100" w:type="dxa"/>
              <w:bottom w:w="80" w:type="dxa"/>
              <w:end w:w="100" w:type="dxa"/>
            </w:tcMar>
          </w:tcPr>
          <w:p>
            <w:pPr>
              <w:jc w:val="center"/>
            </w:pPr>
            <w:r>
              <w:rPr>
                <w:b/>
                <w:color w:val="FFFFFF"/>
                <w:sz w:val="16"/>
              </w:rPr>
              <w:t>Std. dev.</w:t>
            </w:r>
          </w:p>
        </w:tc>
        <w:tc>
          <w:tcPr>
            <w:tcW w:type="dxa" w:w="1584"/>
            <w:shd w:fill="17324D"/>
            <w:tcMar>
              <w:top w:w="80" w:type="dxa"/>
              <w:start w:w="100" w:type="dxa"/>
              <w:bottom w:w="80" w:type="dxa"/>
              <w:end w:w="100" w:type="dxa"/>
            </w:tcMar>
          </w:tcPr>
          <w:p>
            <w:pPr>
              <w:jc w:val="center"/>
            </w:pPr>
            <w:r>
              <w:rPr>
                <w:b/>
                <w:color w:val="FFFFFF"/>
                <w:sz w:val="16"/>
              </w:rPr>
              <w:t>Min</w:t>
            </w:r>
          </w:p>
        </w:tc>
        <w:tc>
          <w:tcPr>
            <w:tcW w:type="dxa" w:w="1584"/>
            <w:shd w:fill="17324D"/>
            <w:tcMar>
              <w:top w:w="80" w:type="dxa"/>
              <w:start w:w="100" w:type="dxa"/>
              <w:bottom w:w="80" w:type="dxa"/>
              <w:end w:w="100" w:type="dxa"/>
            </w:tcMar>
          </w:tcPr>
          <w:p>
            <w:pPr>
              <w:jc w:val="center"/>
            </w:pPr>
            <w:r>
              <w:rPr>
                <w:b/>
                <w:color w:val="FFFFFF"/>
                <w:sz w:val="16"/>
              </w:rPr>
              <w:t>Max</w:t>
            </w:r>
          </w:p>
        </w:tc>
      </w:tr>
      <w:tr>
        <w:tc>
          <w:tcPr>
            <w:tcW w:type="dxa" w:w="1584"/>
            <w:tcMar>
              <w:top w:w="80" w:type="dxa"/>
              <w:start w:w="100" w:type="dxa"/>
              <w:bottom w:w="80" w:type="dxa"/>
              <w:end w:w="100" w:type="dxa"/>
            </w:tcMar>
            <w:shd w:fill="F7FAFC"/>
          </w:tcPr>
          <w:p>
            <w:pPr>
              <w:jc w:val="left"/>
            </w:pPr>
            <w:r>
              <w:rPr>
                <w:color w:val="1E293B"/>
                <w:sz w:val="16"/>
              </w:rPr>
              <w:t>TCS</w:t>
            </w:r>
          </w:p>
        </w:tc>
        <w:tc>
          <w:tcPr>
            <w:tcW w:type="dxa" w:w="1944"/>
            <w:tcMar>
              <w:top w:w="80" w:type="dxa"/>
              <w:start w:w="100" w:type="dxa"/>
              <w:bottom w:w="80" w:type="dxa"/>
              <w:end w:w="100" w:type="dxa"/>
            </w:tcMar>
            <w:shd w:fill="F7FAFC"/>
          </w:tcPr>
          <w:p>
            <w:pPr>
              <w:jc w:val="center"/>
            </w:pPr>
            <w:r>
              <w:rPr>
                <w:color w:val="1E293B"/>
                <w:sz w:val="16"/>
              </w:rPr>
              <w:t>1.67%</w:t>
            </w:r>
          </w:p>
        </w:tc>
        <w:tc>
          <w:tcPr>
            <w:tcW w:type="dxa" w:w="1728"/>
            <w:tcMar>
              <w:top w:w="80" w:type="dxa"/>
              <w:start w:w="100" w:type="dxa"/>
              <w:bottom w:w="80" w:type="dxa"/>
              <w:end w:w="100" w:type="dxa"/>
            </w:tcMar>
            <w:shd w:fill="F7FAFC"/>
          </w:tcPr>
          <w:p>
            <w:pPr>
              <w:jc w:val="center"/>
            </w:pPr>
            <w:r>
              <w:rPr>
                <w:color w:val="1E293B"/>
                <w:sz w:val="16"/>
              </w:rPr>
              <w:t>1.84 ppt</w:t>
            </w:r>
          </w:p>
        </w:tc>
        <w:tc>
          <w:tcPr>
            <w:tcW w:type="dxa" w:w="1584"/>
            <w:tcMar>
              <w:top w:w="80" w:type="dxa"/>
              <w:start w:w="100" w:type="dxa"/>
              <w:bottom w:w="80" w:type="dxa"/>
              <w:end w:w="100" w:type="dxa"/>
            </w:tcMar>
            <w:shd w:fill="F7FAFC"/>
          </w:tcPr>
          <w:p>
            <w:pPr>
              <w:jc w:val="center"/>
            </w:pPr>
            <w:r>
              <w:rPr>
                <w:color w:val="1E293B"/>
                <w:sz w:val="16"/>
              </w:rPr>
              <w:t>-1.62%</w:t>
            </w:r>
          </w:p>
        </w:tc>
        <w:tc>
          <w:tcPr>
            <w:tcW w:type="dxa" w:w="1584"/>
            <w:tcMar>
              <w:top w:w="80" w:type="dxa"/>
              <w:start w:w="100" w:type="dxa"/>
              <w:bottom w:w="80" w:type="dxa"/>
              <w:end w:w="100" w:type="dxa"/>
            </w:tcMar>
            <w:shd w:fill="F7FAFC"/>
          </w:tcPr>
          <w:p>
            <w:pPr>
              <w:jc w:val="center"/>
            </w:pPr>
            <w:r>
              <w:rPr>
                <w:color w:val="1E293B"/>
                <w:sz w:val="16"/>
              </w:rPr>
              <w:t>5.38%</w:t>
            </w:r>
          </w:p>
        </w:tc>
      </w:tr>
      <w:tr>
        <w:tc>
          <w:tcPr>
            <w:tcW w:type="dxa" w:w="1584"/>
            <w:tcMar>
              <w:top w:w="80" w:type="dxa"/>
              <w:start w:w="100" w:type="dxa"/>
              <w:bottom w:w="80" w:type="dxa"/>
              <w:end w:w="100" w:type="dxa"/>
            </w:tcMar>
          </w:tcPr>
          <w:p>
            <w:pPr>
              <w:jc w:val="left"/>
            </w:pPr>
            <w:r>
              <w:rPr>
                <w:color w:val="1E293B"/>
                <w:sz w:val="16"/>
              </w:rPr>
              <w:t>Infosys</w:t>
            </w:r>
          </w:p>
        </w:tc>
        <w:tc>
          <w:tcPr>
            <w:tcW w:type="dxa" w:w="1944"/>
            <w:tcMar>
              <w:top w:w="80" w:type="dxa"/>
              <w:start w:w="100" w:type="dxa"/>
              <w:bottom w:w="80" w:type="dxa"/>
              <w:end w:w="100" w:type="dxa"/>
            </w:tcMar>
          </w:tcPr>
          <w:p>
            <w:pPr>
              <w:jc w:val="center"/>
            </w:pPr>
            <w:r>
              <w:rPr>
                <w:color w:val="1E293B"/>
                <w:sz w:val="16"/>
              </w:rPr>
              <w:t>2.04%</w:t>
            </w:r>
          </w:p>
        </w:tc>
        <w:tc>
          <w:tcPr>
            <w:tcW w:type="dxa" w:w="1728"/>
            <w:tcMar>
              <w:top w:w="80" w:type="dxa"/>
              <w:start w:w="100" w:type="dxa"/>
              <w:bottom w:w="80" w:type="dxa"/>
              <w:end w:w="100" w:type="dxa"/>
            </w:tcMar>
          </w:tcPr>
          <w:p>
            <w:pPr>
              <w:jc w:val="center"/>
            </w:pPr>
            <w:r>
              <w:rPr>
                <w:color w:val="1E293B"/>
                <w:sz w:val="16"/>
              </w:rPr>
              <w:t>2.43 ppt</w:t>
            </w:r>
          </w:p>
        </w:tc>
        <w:tc>
          <w:tcPr>
            <w:tcW w:type="dxa" w:w="1584"/>
            <w:tcMar>
              <w:top w:w="80" w:type="dxa"/>
              <w:start w:w="100" w:type="dxa"/>
              <w:bottom w:w="80" w:type="dxa"/>
              <w:end w:w="100" w:type="dxa"/>
            </w:tcMar>
          </w:tcPr>
          <w:p>
            <w:pPr>
              <w:jc w:val="center"/>
            </w:pPr>
            <w:r>
              <w:rPr>
                <w:color w:val="1E293B"/>
                <w:sz w:val="16"/>
              </w:rPr>
              <w:t>-2.31%</w:t>
            </w:r>
          </w:p>
        </w:tc>
        <w:tc>
          <w:tcPr>
            <w:tcW w:type="dxa" w:w="1584"/>
            <w:tcMar>
              <w:top w:w="80" w:type="dxa"/>
              <w:start w:w="100" w:type="dxa"/>
              <w:bottom w:w="80" w:type="dxa"/>
              <w:end w:w="100" w:type="dxa"/>
            </w:tcMar>
          </w:tcPr>
          <w:p>
            <w:pPr>
              <w:jc w:val="center"/>
            </w:pPr>
            <w:r>
              <w:rPr>
                <w:color w:val="1E293B"/>
                <w:sz w:val="16"/>
              </w:rPr>
              <w:t>5.23%</w:t>
            </w:r>
          </w:p>
        </w:tc>
      </w:tr>
      <w:tr>
        <w:tc>
          <w:tcPr>
            <w:tcW w:type="dxa" w:w="1584"/>
            <w:tcMar>
              <w:top w:w="80" w:type="dxa"/>
              <w:start w:w="100" w:type="dxa"/>
              <w:bottom w:w="80" w:type="dxa"/>
              <w:end w:w="100" w:type="dxa"/>
            </w:tcMar>
            <w:shd w:fill="F7FAFC"/>
          </w:tcPr>
          <w:p>
            <w:pPr>
              <w:jc w:val="left"/>
            </w:pPr>
            <w:r>
              <w:rPr>
                <w:color w:val="1E293B"/>
                <w:sz w:val="16"/>
              </w:rPr>
              <w:t>HCLTech</w:t>
            </w:r>
          </w:p>
        </w:tc>
        <w:tc>
          <w:tcPr>
            <w:tcW w:type="dxa" w:w="1944"/>
            <w:tcMar>
              <w:top w:w="80" w:type="dxa"/>
              <w:start w:w="100" w:type="dxa"/>
              <w:bottom w:w="80" w:type="dxa"/>
              <w:end w:w="100" w:type="dxa"/>
            </w:tcMar>
            <w:shd w:fill="F7FAFC"/>
          </w:tcPr>
          <w:p>
            <w:pPr>
              <w:jc w:val="center"/>
            </w:pPr>
            <w:r>
              <w:rPr>
                <w:color w:val="1E293B"/>
                <w:sz w:val="16"/>
              </w:rPr>
              <w:t>2.34%</w:t>
            </w:r>
          </w:p>
        </w:tc>
        <w:tc>
          <w:tcPr>
            <w:tcW w:type="dxa" w:w="1728"/>
            <w:tcMar>
              <w:top w:w="80" w:type="dxa"/>
              <w:start w:w="100" w:type="dxa"/>
              <w:bottom w:w="80" w:type="dxa"/>
              <w:end w:w="100" w:type="dxa"/>
            </w:tcMar>
            <w:shd w:fill="F7FAFC"/>
          </w:tcPr>
          <w:p>
            <w:pPr>
              <w:jc w:val="center"/>
            </w:pPr>
            <w:r>
              <w:rPr>
                <w:color w:val="1E293B"/>
                <w:sz w:val="16"/>
              </w:rPr>
              <w:t>2.57 ppt</w:t>
            </w:r>
          </w:p>
        </w:tc>
        <w:tc>
          <w:tcPr>
            <w:tcW w:type="dxa" w:w="1584"/>
            <w:tcMar>
              <w:top w:w="80" w:type="dxa"/>
              <w:start w:w="100" w:type="dxa"/>
              <w:bottom w:w="80" w:type="dxa"/>
              <w:end w:w="100" w:type="dxa"/>
            </w:tcMar>
            <w:shd w:fill="F7FAFC"/>
          </w:tcPr>
          <w:p>
            <w:pPr>
              <w:jc w:val="center"/>
            </w:pPr>
            <w:r>
              <w:rPr>
                <w:color w:val="1E293B"/>
                <w:sz w:val="16"/>
              </w:rPr>
              <w:t>-1.55%</w:t>
            </w:r>
          </w:p>
        </w:tc>
        <w:tc>
          <w:tcPr>
            <w:tcW w:type="dxa" w:w="1584"/>
            <w:tcMar>
              <w:top w:w="80" w:type="dxa"/>
              <w:start w:w="100" w:type="dxa"/>
              <w:bottom w:w="80" w:type="dxa"/>
              <w:end w:w="100" w:type="dxa"/>
            </w:tcMar>
            <w:shd w:fill="F7FAFC"/>
          </w:tcPr>
          <w:p>
            <w:pPr>
              <w:jc w:val="center"/>
            </w:pPr>
            <w:r>
              <w:rPr>
                <w:color w:val="1E293B"/>
                <w:sz w:val="16"/>
              </w:rPr>
              <w:t>6.65%</w:t>
            </w:r>
          </w:p>
        </w:tc>
      </w:tr>
      <w:tr>
        <w:tc>
          <w:tcPr>
            <w:tcW w:type="dxa" w:w="1584"/>
            <w:tcMar>
              <w:top w:w="80" w:type="dxa"/>
              <w:start w:w="100" w:type="dxa"/>
              <w:bottom w:w="80" w:type="dxa"/>
              <w:end w:w="100" w:type="dxa"/>
            </w:tcMar>
          </w:tcPr>
          <w:p>
            <w:pPr>
              <w:jc w:val="left"/>
            </w:pPr>
            <w:r>
              <w:rPr>
                <w:color w:val="1E293B"/>
                <w:sz w:val="16"/>
              </w:rPr>
              <w:t>Wipro</w:t>
            </w:r>
          </w:p>
        </w:tc>
        <w:tc>
          <w:tcPr>
            <w:tcW w:type="dxa" w:w="1944"/>
            <w:tcMar>
              <w:top w:w="80" w:type="dxa"/>
              <w:start w:w="100" w:type="dxa"/>
              <w:bottom w:w="80" w:type="dxa"/>
              <w:end w:w="100" w:type="dxa"/>
            </w:tcMar>
          </w:tcPr>
          <w:p>
            <w:pPr>
              <w:jc w:val="center"/>
            </w:pPr>
            <w:r>
              <w:rPr>
                <w:color w:val="1E293B"/>
                <w:sz w:val="16"/>
              </w:rPr>
              <w:t>0.60%</w:t>
            </w:r>
          </w:p>
        </w:tc>
        <w:tc>
          <w:tcPr>
            <w:tcW w:type="dxa" w:w="1728"/>
            <w:tcMar>
              <w:top w:w="80" w:type="dxa"/>
              <w:start w:w="100" w:type="dxa"/>
              <w:bottom w:w="80" w:type="dxa"/>
              <w:end w:w="100" w:type="dxa"/>
            </w:tcMar>
          </w:tcPr>
          <w:p>
            <w:pPr>
              <w:jc w:val="center"/>
            </w:pPr>
            <w:r>
              <w:rPr>
                <w:color w:val="1E293B"/>
                <w:sz w:val="16"/>
              </w:rPr>
              <w:t>1.82 ppt</w:t>
            </w:r>
          </w:p>
        </w:tc>
        <w:tc>
          <w:tcPr>
            <w:tcW w:type="dxa" w:w="1584"/>
            <w:tcMar>
              <w:top w:w="80" w:type="dxa"/>
              <w:start w:w="100" w:type="dxa"/>
              <w:bottom w:w="80" w:type="dxa"/>
              <w:end w:w="100" w:type="dxa"/>
            </w:tcMar>
          </w:tcPr>
          <w:p>
            <w:pPr>
              <w:jc w:val="center"/>
            </w:pPr>
            <w:r>
              <w:rPr>
                <w:color w:val="1E293B"/>
                <w:sz w:val="16"/>
              </w:rPr>
              <w:t>-1.64%</w:t>
            </w:r>
          </w:p>
        </w:tc>
        <w:tc>
          <w:tcPr>
            <w:tcW w:type="dxa" w:w="1584"/>
            <w:tcMar>
              <w:top w:w="80" w:type="dxa"/>
              <w:start w:w="100" w:type="dxa"/>
              <w:bottom w:w="80" w:type="dxa"/>
              <w:end w:w="100" w:type="dxa"/>
            </w:tcMar>
          </w:tcPr>
          <w:p>
            <w:pPr>
              <w:jc w:val="center"/>
            </w:pPr>
            <w:r>
              <w:rPr>
                <w:color w:val="1E293B"/>
                <w:sz w:val="16"/>
              </w:rPr>
              <w:t>3.78%</w:t>
            </w:r>
          </w:p>
        </w:tc>
      </w:tr>
    </w:tbl>
    <w:p>
      <w:pPr>
        <w:spacing w:after="120" w:line="259" w:lineRule="auto"/>
      </w:pPr>
      <w:r>
        <w:rPr>
          <w:color w:val="1E293B"/>
          <w:sz w:val="19"/>
        </w:rPr>
        <w:t>Volatility is a descriptive stability measure, not a standalone quality assessment. In this panel, HCLTech has the highest standard deviation of sequential growth, while Wipro has the lowest; the difference is small enough that the underlying business and reporting context should remain part of the interpretation.</w:t>
      </w:r>
    </w:p>
    <w:p>
      <w:r>
        <w:br w:type="page"/>
      </w:r>
    </w:p>
    <w:p>
      <w:pPr>
        <w:pStyle w:val="Heading1"/>
        <w:spacing w:before="160" w:after="100"/>
      </w:pPr>
      <w:r>
        <w:rPr>
          <w:b/>
          <w:color w:val="17324D"/>
        </w:rPr>
        <w:t>6. Consolidated Analytical Findings</w:t>
      </w:r>
    </w:p>
    <w:p>
      <w:pPr>
        <w:pStyle w:val="ListBullet"/>
        <w:spacing w:after="60"/>
      </w:pPr>
      <w:r>
        <w:rPr>
          <w:color w:val="1E293B"/>
          <w:sz w:val="19"/>
        </w:rPr>
        <w:t>1. Scale and growth are different dimensions. TCS is the largest revenue platform in the panel, but HCLTech and Infosys show greater cumulative revenue expansion from the Q1 FY24 starting point.</w:t>
      </w:r>
    </w:p>
    <w:p>
      <w:pPr>
        <w:pStyle w:val="ListBullet"/>
        <w:spacing w:after="60"/>
      </w:pPr>
      <w:r>
        <w:rPr>
          <w:color w:val="1E293B"/>
          <w:sz w:val="19"/>
        </w:rPr>
        <w:t>2. The common INR growth view is useful for a consistent historical panel, but it embeds foreign-exchange effects. Current issuer disclosures therefore need to be retained when constant-currency growth is the relevant business question.</w:t>
      </w:r>
    </w:p>
    <w:p>
      <w:pPr>
        <w:pStyle w:val="ListBullet"/>
        <w:spacing w:after="60"/>
      </w:pPr>
      <w:r>
        <w:rPr>
          <w:color w:val="1E293B"/>
          <w:sz w:val="19"/>
        </w:rPr>
        <w:t>3. Margin analysis requires stronger metadata than revenue analysis. Standardized arithmetic creates a consistent series, but issuer-defined EBIT, operating margin and segment margin can differ materially.</w:t>
      </w:r>
    </w:p>
    <w:p>
      <w:pPr>
        <w:pStyle w:val="ListBullet"/>
        <w:spacing w:after="60"/>
      </w:pPr>
      <w:r>
        <w:rPr>
          <w:color w:val="1E293B"/>
          <w:sz w:val="19"/>
        </w:rPr>
        <w:t>4. Revenue volatility is comparatively stable across the four issuers, yet the lowest volatility should not be treated as inherently superior; volatility must be interpreted with scale, growth, seasonality and reporting definitions.</w:t>
      </w:r>
    </w:p>
    <w:p>
      <w:pPr>
        <w:pStyle w:val="ListBullet"/>
        <w:spacing w:after="60"/>
      </w:pPr>
      <w:r>
        <w:rPr>
          <w:color w:val="1E293B"/>
          <w:sz w:val="19"/>
        </w:rPr>
        <w:t>5. The visualization layer materially improves the usability of the Week 2 dataset by separating absolute scale, relative expansion, growth, profitability and quality-control dimensions into purpose-built views.</w:t>
      </w:r>
    </w:p>
    <w:p>
      <w:pPr>
        <w:pStyle w:val="Heading2"/>
        <w:spacing w:before="100" w:after="100"/>
      </w:pPr>
      <w:r>
        <w:rPr>
          <w:color w:val="007F86"/>
        </w:rPr>
        <w:t>6.1 Selected comparison table</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40"/>
            <w:shd w:fill="17324D"/>
            <w:tcMar>
              <w:top w:w="80" w:type="dxa"/>
              <w:start w:w="100" w:type="dxa"/>
              <w:bottom w:w="80" w:type="dxa"/>
              <w:end w:w="100" w:type="dxa"/>
            </w:tcMar>
          </w:tcPr>
          <w:p>
            <w:pPr>
              <w:jc w:val="center"/>
            </w:pPr>
            <w:r>
              <w:rPr>
                <w:b/>
                <w:color w:val="FFFFFF"/>
                <w:sz w:val="16"/>
              </w:rPr>
              <w:t>Company</w:t>
            </w:r>
          </w:p>
        </w:tc>
        <w:tc>
          <w:tcPr>
            <w:tcW w:type="dxa" w:w="1440"/>
            <w:shd w:fill="17324D"/>
            <w:tcMar>
              <w:top w:w="80" w:type="dxa"/>
              <w:start w:w="100" w:type="dxa"/>
              <w:bottom w:w="80" w:type="dxa"/>
              <w:end w:w="100" w:type="dxa"/>
            </w:tcMar>
          </w:tcPr>
          <w:p>
            <w:pPr>
              <w:jc w:val="center"/>
            </w:pPr>
            <w:r>
              <w:rPr>
                <w:b/>
                <w:color w:val="FFFFFF"/>
                <w:sz w:val="16"/>
              </w:rPr>
              <w:t>Q1 FY24 Rev.</w:t>
            </w:r>
          </w:p>
        </w:tc>
        <w:tc>
          <w:tcPr>
            <w:tcW w:type="dxa" w:w="1440"/>
            <w:shd w:fill="17324D"/>
            <w:tcMar>
              <w:top w:w="80" w:type="dxa"/>
              <w:start w:w="100" w:type="dxa"/>
              <w:bottom w:w="80" w:type="dxa"/>
              <w:end w:w="100" w:type="dxa"/>
            </w:tcMar>
          </w:tcPr>
          <w:p>
            <w:pPr>
              <w:jc w:val="center"/>
            </w:pPr>
            <w:r>
              <w:rPr>
                <w:b/>
                <w:color w:val="FFFFFF"/>
                <w:sz w:val="16"/>
              </w:rPr>
              <w:t>Q1 FY27 Rev.</w:t>
            </w:r>
          </w:p>
        </w:tc>
        <w:tc>
          <w:tcPr>
            <w:tcW w:type="dxa" w:w="1656"/>
            <w:shd w:fill="17324D"/>
            <w:tcMar>
              <w:top w:w="80" w:type="dxa"/>
              <w:start w:w="100" w:type="dxa"/>
              <w:bottom w:w="80" w:type="dxa"/>
              <w:end w:w="100" w:type="dxa"/>
            </w:tcMar>
          </w:tcPr>
          <w:p>
            <w:pPr>
              <w:jc w:val="center"/>
            </w:pPr>
            <w:r>
              <w:rPr>
                <w:b/>
                <w:color w:val="FFFFFF"/>
                <w:sz w:val="16"/>
              </w:rPr>
              <w:t>Cumulative change</w:t>
            </w:r>
          </w:p>
        </w:tc>
        <w:tc>
          <w:tcPr>
            <w:tcW w:type="dxa" w:w="1368"/>
            <w:shd w:fill="17324D"/>
            <w:tcMar>
              <w:top w:w="80" w:type="dxa"/>
              <w:start w:w="100" w:type="dxa"/>
              <w:bottom w:w="80" w:type="dxa"/>
              <w:end w:w="100" w:type="dxa"/>
            </w:tcMar>
          </w:tcPr>
          <w:p>
            <w:pPr>
              <w:jc w:val="center"/>
            </w:pPr>
            <w:r>
              <w:rPr>
                <w:b/>
                <w:color w:val="FFFFFF"/>
                <w:sz w:val="16"/>
              </w:rPr>
              <w:t>Latest YoY</w:t>
            </w:r>
          </w:p>
        </w:tc>
        <w:tc>
          <w:tcPr>
            <w:tcW w:type="dxa" w:w="1584"/>
            <w:shd w:fill="17324D"/>
            <w:tcMar>
              <w:top w:w="80" w:type="dxa"/>
              <w:start w:w="100" w:type="dxa"/>
              <w:bottom w:w="80" w:type="dxa"/>
              <w:end w:w="100" w:type="dxa"/>
            </w:tcMar>
          </w:tcPr>
          <w:p>
            <w:pPr>
              <w:jc w:val="center"/>
            </w:pPr>
            <w:r>
              <w:rPr>
                <w:b/>
                <w:color w:val="FFFFFF"/>
                <w:sz w:val="16"/>
              </w:rPr>
              <w:t>Avg panel OPM</w:t>
            </w:r>
          </w:p>
        </w:tc>
        <w:tc>
          <w:tcPr>
            <w:tcW w:type="dxa" w:w="1584"/>
            <w:shd w:fill="17324D"/>
            <w:tcMar>
              <w:top w:w="80" w:type="dxa"/>
              <w:start w:w="100" w:type="dxa"/>
              <w:bottom w:w="80" w:type="dxa"/>
              <w:end w:w="100" w:type="dxa"/>
            </w:tcMar>
          </w:tcPr>
          <w:p>
            <w:pPr>
              <w:jc w:val="center"/>
            </w:pPr>
            <w:r>
              <w:rPr>
                <w:b/>
                <w:color w:val="FFFFFF"/>
                <w:sz w:val="16"/>
              </w:rPr>
              <w:t>Avg net margin</w:t>
            </w:r>
          </w:p>
        </w:tc>
      </w:tr>
      <w:tr>
        <w:tc>
          <w:tcPr>
            <w:tcW w:type="dxa" w:w="1440"/>
            <w:tcMar>
              <w:top w:w="80" w:type="dxa"/>
              <w:start w:w="100" w:type="dxa"/>
              <w:bottom w:w="80" w:type="dxa"/>
              <w:end w:w="100" w:type="dxa"/>
            </w:tcMar>
            <w:shd w:fill="F7FAFC"/>
          </w:tcPr>
          <w:p>
            <w:pPr>
              <w:jc w:val="left"/>
            </w:pPr>
            <w:r>
              <w:rPr>
                <w:color w:val="1E293B"/>
                <w:sz w:val="16"/>
              </w:rPr>
              <w:t>TCS</w:t>
            </w:r>
          </w:p>
        </w:tc>
        <w:tc>
          <w:tcPr>
            <w:tcW w:type="dxa" w:w="1440"/>
            <w:tcMar>
              <w:top w:w="80" w:type="dxa"/>
              <w:start w:w="100" w:type="dxa"/>
              <w:bottom w:w="80" w:type="dxa"/>
              <w:end w:w="100" w:type="dxa"/>
            </w:tcMar>
            <w:shd w:fill="F7FAFC"/>
          </w:tcPr>
          <w:p>
            <w:pPr>
              <w:jc w:val="center"/>
            </w:pPr>
            <w:r>
              <w:rPr>
                <w:color w:val="1E293B"/>
                <w:sz w:val="16"/>
              </w:rPr>
              <w:t>59,381</w:t>
            </w:r>
          </w:p>
        </w:tc>
        <w:tc>
          <w:tcPr>
            <w:tcW w:type="dxa" w:w="1440"/>
            <w:tcMar>
              <w:top w:w="80" w:type="dxa"/>
              <w:start w:w="100" w:type="dxa"/>
              <w:bottom w:w="80" w:type="dxa"/>
              <w:end w:w="100" w:type="dxa"/>
            </w:tcMar>
            <w:shd w:fill="F7FAFC"/>
          </w:tcPr>
          <w:p>
            <w:pPr>
              <w:jc w:val="center"/>
            </w:pPr>
            <w:r>
              <w:rPr>
                <w:color w:val="1E293B"/>
                <w:sz w:val="16"/>
              </w:rPr>
              <w:t>72,275</w:t>
            </w:r>
          </w:p>
        </w:tc>
        <w:tc>
          <w:tcPr>
            <w:tcW w:type="dxa" w:w="1656"/>
            <w:tcMar>
              <w:top w:w="80" w:type="dxa"/>
              <w:start w:w="100" w:type="dxa"/>
              <w:bottom w:w="80" w:type="dxa"/>
              <w:end w:w="100" w:type="dxa"/>
            </w:tcMar>
            <w:shd w:fill="F7FAFC"/>
          </w:tcPr>
          <w:p>
            <w:pPr>
              <w:jc w:val="center"/>
            </w:pPr>
            <w:r>
              <w:rPr>
                <w:color w:val="1E293B"/>
                <w:sz w:val="16"/>
              </w:rPr>
              <w:t>21.7%</w:t>
            </w:r>
          </w:p>
        </w:tc>
        <w:tc>
          <w:tcPr>
            <w:tcW w:type="dxa" w:w="1368"/>
            <w:tcMar>
              <w:top w:w="80" w:type="dxa"/>
              <w:start w:w="100" w:type="dxa"/>
              <w:bottom w:w="80" w:type="dxa"/>
              <w:end w:w="100" w:type="dxa"/>
            </w:tcMar>
            <w:shd w:fill="F7FAFC"/>
          </w:tcPr>
          <w:p>
            <w:pPr>
              <w:jc w:val="center"/>
            </w:pPr>
            <w:r>
              <w:rPr>
                <w:color w:val="1E293B"/>
                <w:sz w:val="16"/>
              </w:rPr>
              <w:t>13.9%</w:t>
            </w:r>
          </w:p>
        </w:tc>
        <w:tc>
          <w:tcPr>
            <w:tcW w:type="dxa" w:w="1584"/>
            <w:tcMar>
              <w:top w:w="80" w:type="dxa"/>
              <w:start w:w="100" w:type="dxa"/>
              <w:bottom w:w="80" w:type="dxa"/>
              <w:end w:w="100" w:type="dxa"/>
            </w:tcMar>
            <w:shd w:fill="F7FAFC"/>
          </w:tcPr>
          <w:p>
            <w:pPr>
              <w:jc w:val="center"/>
            </w:pPr>
            <w:r>
              <w:rPr>
                <w:color w:val="1E293B"/>
                <w:sz w:val="16"/>
              </w:rPr>
              <w:t>26.6%</w:t>
            </w:r>
          </w:p>
        </w:tc>
        <w:tc>
          <w:tcPr>
            <w:tcW w:type="dxa" w:w="1584"/>
            <w:tcMar>
              <w:top w:w="80" w:type="dxa"/>
              <w:start w:w="100" w:type="dxa"/>
              <w:bottom w:w="80" w:type="dxa"/>
              <w:end w:w="100" w:type="dxa"/>
            </w:tcMar>
            <w:shd w:fill="F7FAFC"/>
          </w:tcPr>
          <w:p>
            <w:pPr>
              <w:jc w:val="center"/>
            </w:pPr>
            <w:r>
              <w:rPr>
                <w:color w:val="1E293B"/>
                <w:sz w:val="16"/>
              </w:rPr>
              <w:t>18.9%</w:t>
            </w:r>
          </w:p>
        </w:tc>
      </w:tr>
      <w:tr>
        <w:tc>
          <w:tcPr>
            <w:tcW w:type="dxa" w:w="1440"/>
            <w:tcMar>
              <w:top w:w="80" w:type="dxa"/>
              <w:start w:w="100" w:type="dxa"/>
              <w:bottom w:w="80" w:type="dxa"/>
              <w:end w:w="100" w:type="dxa"/>
            </w:tcMar>
          </w:tcPr>
          <w:p>
            <w:pPr>
              <w:jc w:val="left"/>
            </w:pPr>
            <w:r>
              <w:rPr>
                <w:color w:val="1E293B"/>
                <w:sz w:val="16"/>
              </w:rPr>
              <w:t>Infosys</w:t>
            </w:r>
          </w:p>
        </w:tc>
        <w:tc>
          <w:tcPr>
            <w:tcW w:type="dxa" w:w="1440"/>
            <w:tcMar>
              <w:top w:w="80" w:type="dxa"/>
              <w:start w:w="100" w:type="dxa"/>
              <w:bottom w:w="80" w:type="dxa"/>
              <w:end w:w="100" w:type="dxa"/>
            </w:tcMar>
          </w:tcPr>
          <w:p>
            <w:pPr>
              <w:jc w:val="center"/>
            </w:pPr>
            <w:r>
              <w:rPr>
                <w:color w:val="1E293B"/>
                <w:sz w:val="16"/>
              </w:rPr>
              <w:t>37,933</w:t>
            </w:r>
          </w:p>
        </w:tc>
        <w:tc>
          <w:tcPr>
            <w:tcW w:type="dxa" w:w="1440"/>
            <w:tcMar>
              <w:top w:w="80" w:type="dxa"/>
              <w:start w:w="100" w:type="dxa"/>
              <w:bottom w:w="80" w:type="dxa"/>
              <w:end w:w="100" w:type="dxa"/>
            </w:tcMar>
          </w:tcPr>
          <w:p>
            <w:pPr>
              <w:jc w:val="center"/>
            </w:pPr>
            <w:r>
              <w:rPr>
                <w:color w:val="1E293B"/>
                <w:sz w:val="16"/>
              </w:rPr>
              <w:t>48,211</w:t>
            </w:r>
          </w:p>
        </w:tc>
        <w:tc>
          <w:tcPr>
            <w:tcW w:type="dxa" w:w="1656"/>
            <w:tcMar>
              <w:top w:w="80" w:type="dxa"/>
              <w:start w:w="100" w:type="dxa"/>
              <w:bottom w:w="80" w:type="dxa"/>
              <w:end w:w="100" w:type="dxa"/>
            </w:tcMar>
          </w:tcPr>
          <w:p>
            <w:pPr>
              <w:jc w:val="center"/>
            </w:pPr>
            <w:r>
              <w:rPr>
                <w:color w:val="1E293B"/>
                <w:sz w:val="16"/>
              </w:rPr>
              <w:t>27.1%</w:t>
            </w:r>
          </w:p>
        </w:tc>
        <w:tc>
          <w:tcPr>
            <w:tcW w:type="dxa" w:w="1368"/>
            <w:tcMar>
              <w:top w:w="80" w:type="dxa"/>
              <w:start w:w="100" w:type="dxa"/>
              <w:bottom w:w="80" w:type="dxa"/>
              <w:end w:w="100" w:type="dxa"/>
            </w:tcMar>
          </w:tcPr>
          <w:p>
            <w:pPr>
              <w:jc w:val="center"/>
            </w:pPr>
            <w:r>
              <w:rPr>
                <w:color w:val="1E293B"/>
                <w:sz w:val="16"/>
              </w:rPr>
              <w:t>14.0%</w:t>
            </w:r>
          </w:p>
        </w:tc>
        <w:tc>
          <w:tcPr>
            <w:tcW w:type="dxa" w:w="1584"/>
            <w:tcMar>
              <w:top w:w="80" w:type="dxa"/>
              <w:start w:w="100" w:type="dxa"/>
              <w:bottom w:w="80" w:type="dxa"/>
              <w:end w:w="100" w:type="dxa"/>
            </w:tcMar>
          </w:tcPr>
          <w:p>
            <w:pPr>
              <w:jc w:val="center"/>
            </w:pPr>
            <w:r>
              <w:rPr>
                <w:color w:val="1E293B"/>
                <w:sz w:val="16"/>
              </w:rPr>
              <w:t>23.8%</w:t>
            </w:r>
          </w:p>
        </w:tc>
        <w:tc>
          <w:tcPr>
            <w:tcW w:type="dxa" w:w="1584"/>
            <w:tcMar>
              <w:top w:w="80" w:type="dxa"/>
              <w:start w:w="100" w:type="dxa"/>
              <w:bottom w:w="80" w:type="dxa"/>
              <w:end w:w="100" w:type="dxa"/>
            </w:tcMar>
          </w:tcPr>
          <w:p>
            <w:pPr>
              <w:jc w:val="center"/>
            </w:pPr>
            <w:r>
              <w:rPr>
                <w:color w:val="1E293B"/>
                <w:sz w:val="16"/>
              </w:rPr>
              <w:t>16.6%</w:t>
            </w:r>
          </w:p>
        </w:tc>
      </w:tr>
      <w:tr>
        <w:tc>
          <w:tcPr>
            <w:tcW w:type="dxa" w:w="1440"/>
            <w:tcMar>
              <w:top w:w="80" w:type="dxa"/>
              <w:start w:w="100" w:type="dxa"/>
              <w:bottom w:w="80" w:type="dxa"/>
              <w:end w:w="100" w:type="dxa"/>
            </w:tcMar>
            <w:shd w:fill="F7FAFC"/>
          </w:tcPr>
          <w:p>
            <w:pPr>
              <w:jc w:val="left"/>
            </w:pPr>
            <w:r>
              <w:rPr>
                <w:color w:val="1E293B"/>
                <w:sz w:val="16"/>
              </w:rPr>
              <w:t>HCLTech</w:t>
            </w:r>
          </w:p>
        </w:tc>
        <w:tc>
          <w:tcPr>
            <w:tcW w:type="dxa" w:w="1440"/>
            <w:tcMar>
              <w:top w:w="80" w:type="dxa"/>
              <w:start w:w="100" w:type="dxa"/>
              <w:bottom w:w="80" w:type="dxa"/>
              <w:end w:w="100" w:type="dxa"/>
            </w:tcMar>
            <w:shd w:fill="F7FAFC"/>
          </w:tcPr>
          <w:p>
            <w:pPr>
              <w:jc w:val="center"/>
            </w:pPr>
            <w:r>
              <w:rPr>
                <w:color w:val="1E293B"/>
                <w:sz w:val="16"/>
              </w:rPr>
              <w:t>26,296</w:t>
            </w:r>
          </w:p>
        </w:tc>
        <w:tc>
          <w:tcPr>
            <w:tcW w:type="dxa" w:w="1440"/>
            <w:tcMar>
              <w:top w:w="80" w:type="dxa"/>
              <w:start w:w="100" w:type="dxa"/>
              <w:bottom w:w="80" w:type="dxa"/>
              <w:end w:w="100" w:type="dxa"/>
            </w:tcMar>
            <w:shd w:fill="F7FAFC"/>
          </w:tcPr>
          <w:p>
            <w:pPr>
              <w:jc w:val="center"/>
            </w:pPr>
            <w:r>
              <w:rPr>
                <w:color w:val="1E293B"/>
                <w:sz w:val="16"/>
              </w:rPr>
              <w:t>34,579</w:t>
            </w:r>
          </w:p>
        </w:tc>
        <w:tc>
          <w:tcPr>
            <w:tcW w:type="dxa" w:w="1656"/>
            <w:tcMar>
              <w:top w:w="80" w:type="dxa"/>
              <w:start w:w="100" w:type="dxa"/>
              <w:bottom w:w="80" w:type="dxa"/>
              <w:end w:w="100" w:type="dxa"/>
            </w:tcMar>
            <w:shd w:fill="F7FAFC"/>
          </w:tcPr>
          <w:p>
            <w:pPr>
              <w:jc w:val="center"/>
            </w:pPr>
            <w:r>
              <w:rPr>
                <w:color w:val="1E293B"/>
                <w:sz w:val="16"/>
              </w:rPr>
              <w:t>31.5%</w:t>
            </w:r>
          </w:p>
        </w:tc>
        <w:tc>
          <w:tcPr>
            <w:tcW w:type="dxa" w:w="1368"/>
            <w:tcMar>
              <w:top w:w="80" w:type="dxa"/>
              <w:start w:w="100" w:type="dxa"/>
              <w:bottom w:w="80" w:type="dxa"/>
              <w:end w:w="100" w:type="dxa"/>
            </w:tcMar>
            <w:shd w:fill="F7FAFC"/>
          </w:tcPr>
          <w:p>
            <w:pPr>
              <w:jc w:val="center"/>
            </w:pPr>
            <w:r>
              <w:rPr>
                <w:color w:val="1E293B"/>
                <w:sz w:val="16"/>
              </w:rPr>
              <w:t>13.9%</w:t>
            </w:r>
          </w:p>
        </w:tc>
        <w:tc>
          <w:tcPr>
            <w:tcW w:type="dxa" w:w="1584"/>
            <w:tcMar>
              <w:top w:w="80" w:type="dxa"/>
              <w:start w:w="100" w:type="dxa"/>
              <w:bottom w:w="80" w:type="dxa"/>
              <w:end w:w="100" w:type="dxa"/>
            </w:tcMar>
            <w:shd w:fill="F7FAFC"/>
          </w:tcPr>
          <w:p>
            <w:pPr>
              <w:jc w:val="center"/>
            </w:pPr>
            <w:r>
              <w:rPr>
                <w:color w:val="1E293B"/>
                <w:sz w:val="16"/>
              </w:rPr>
              <w:t>21.3%</w:t>
            </w:r>
          </w:p>
        </w:tc>
        <w:tc>
          <w:tcPr>
            <w:tcW w:type="dxa" w:w="1584"/>
            <w:tcMar>
              <w:top w:w="80" w:type="dxa"/>
              <w:start w:w="100" w:type="dxa"/>
              <w:bottom w:w="80" w:type="dxa"/>
              <w:end w:w="100" w:type="dxa"/>
            </w:tcMar>
            <w:shd w:fill="F7FAFC"/>
          </w:tcPr>
          <w:p>
            <w:pPr>
              <w:jc w:val="center"/>
            </w:pPr>
            <w:r>
              <w:rPr>
                <w:color w:val="1E293B"/>
                <w:sz w:val="16"/>
              </w:rPr>
              <w:t>13.9%</w:t>
            </w:r>
          </w:p>
        </w:tc>
      </w:tr>
      <w:tr>
        <w:tc>
          <w:tcPr>
            <w:tcW w:type="dxa" w:w="1440"/>
            <w:tcMar>
              <w:top w:w="80" w:type="dxa"/>
              <w:start w:w="100" w:type="dxa"/>
              <w:bottom w:w="80" w:type="dxa"/>
              <w:end w:w="100" w:type="dxa"/>
            </w:tcMar>
          </w:tcPr>
          <w:p>
            <w:pPr>
              <w:jc w:val="left"/>
            </w:pPr>
            <w:r>
              <w:rPr>
                <w:color w:val="1E293B"/>
                <w:sz w:val="16"/>
              </w:rPr>
              <w:t>Wipro</w:t>
            </w:r>
          </w:p>
        </w:tc>
        <w:tc>
          <w:tcPr>
            <w:tcW w:type="dxa" w:w="1440"/>
            <w:tcMar>
              <w:top w:w="80" w:type="dxa"/>
              <w:start w:w="100" w:type="dxa"/>
              <w:bottom w:w="80" w:type="dxa"/>
              <w:end w:w="100" w:type="dxa"/>
            </w:tcMar>
          </w:tcPr>
          <w:p>
            <w:pPr>
              <w:jc w:val="center"/>
            </w:pPr>
            <w:r>
              <w:rPr>
                <w:color w:val="1E293B"/>
                <w:sz w:val="16"/>
              </w:rPr>
              <w:t>22,831</w:t>
            </w:r>
          </w:p>
        </w:tc>
        <w:tc>
          <w:tcPr>
            <w:tcW w:type="dxa" w:w="1440"/>
            <w:tcMar>
              <w:top w:w="80" w:type="dxa"/>
              <w:start w:w="100" w:type="dxa"/>
              <w:bottom w:w="80" w:type="dxa"/>
              <w:end w:w="100" w:type="dxa"/>
            </w:tcMar>
          </w:tcPr>
          <w:p>
            <w:pPr>
              <w:jc w:val="center"/>
            </w:pPr>
            <w:r>
              <w:rPr>
                <w:color w:val="1E293B"/>
                <w:sz w:val="16"/>
              </w:rPr>
              <w:t>24,479</w:t>
            </w:r>
          </w:p>
        </w:tc>
        <w:tc>
          <w:tcPr>
            <w:tcW w:type="dxa" w:w="1656"/>
            <w:tcMar>
              <w:top w:w="80" w:type="dxa"/>
              <w:start w:w="100" w:type="dxa"/>
              <w:bottom w:w="80" w:type="dxa"/>
              <w:end w:w="100" w:type="dxa"/>
            </w:tcMar>
          </w:tcPr>
          <w:p>
            <w:pPr>
              <w:jc w:val="center"/>
            </w:pPr>
            <w:r>
              <w:rPr>
                <w:color w:val="1E293B"/>
                <w:sz w:val="16"/>
              </w:rPr>
              <w:t>7.2%</w:t>
            </w:r>
          </w:p>
        </w:tc>
        <w:tc>
          <w:tcPr>
            <w:tcW w:type="dxa" w:w="1368"/>
            <w:tcMar>
              <w:top w:w="80" w:type="dxa"/>
              <w:start w:w="100" w:type="dxa"/>
              <w:bottom w:w="80" w:type="dxa"/>
              <w:end w:w="100" w:type="dxa"/>
            </w:tcMar>
          </w:tcPr>
          <w:p>
            <w:pPr>
              <w:jc w:val="center"/>
            </w:pPr>
            <w:r>
              <w:rPr>
                <w:color w:val="1E293B"/>
                <w:sz w:val="16"/>
              </w:rPr>
              <w:t>10.6%</w:t>
            </w:r>
          </w:p>
        </w:tc>
        <w:tc>
          <w:tcPr>
            <w:tcW w:type="dxa" w:w="1584"/>
            <w:tcMar>
              <w:top w:w="80" w:type="dxa"/>
              <w:start w:w="100" w:type="dxa"/>
              <w:bottom w:w="80" w:type="dxa"/>
              <w:end w:w="100" w:type="dxa"/>
            </w:tcMar>
          </w:tcPr>
          <w:p>
            <w:pPr>
              <w:jc w:val="center"/>
            </w:pPr>
            <w:r>
              <w:rPr>
                <w:color w:val="1E293B"/>
                <w:sz w:val="16"/>
              </w:rPr>
              <w:t>19.3%</w:t>
            </w:r>
          </w:p>
        </w:tc>
        <w:tc>
          <w:tcPr>
            <w:tcW w:type="dxa" w:w="1584"/>
            <w:tcMar>
              <w:top w:w="80" w:type="dxa"/>
              <w:start w:w="100" w:type="dxa"/>
              <w:bottom w:w="80" w:type="dxa"/>
              <w:end w:w="100" w:type="dxa"/>
            </w:tcMar>
          </w:tcPr>
          <w:p>
            <w:pPr>
              <w:jc w:val="center"/>
            </w:pPr>
            <w:r>
              <w:rPr>
                <w:color w:val="1E293B"/>
                <w:sz w:val="16"/>
              </w:rPr>
              <w:t>13.8%</w:t>
            </w:r>
          </w:p>
        </w:tc>
      </w:tr>
    </w:tbl>
    <w:p>
      <w:r>
        <w:br w:type="page"/>
      </w:r>
    </w:p>
    <w:p>
      <w:pPr>
        <w:pStyle w:val="Heading1"/>
        <w:spacing w:before="160" w:after="100"/>
      </w:pPr>
      <w:r>
        <w:rPr>
          <w:b/>
          <w:color w:val="17324D"/>
        </w:rPr>
        <w:t>7. Visualization Review and Refinement</w:t>
      </w:r>
    </w:p>
    <w:p>
      <w:pPr>
        <w:spacing w:after="120" w:line="259" w:lineRule="auto"/>
      </w:pPr>
      <w:r>
        <w:rPr>
          <w:color w:val="1E293B"/>
          <w:sz w:val="19"/>
        </w:rPr>
        <w:t>A final review was performed after the first visualization pass to test whether each chart answered a distinct analyst question and whether any visual choice could create a misleading comparison.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tcMar>
              <w:top w:w="80" w:type="dxa"/>
              <w:start w:w="100" w:type="dxa"/>
              <w:bottom w:w="80" w:type="dxa"/>
              <w:end w:w="100" w:type="dxa"/>
            </w:tcMar>
          </w:tcPr>
          <w:p>
            <w:pPr>
              <w:jc w:val="center"/>
            </w:pPr>
            <w:r>
              <w:rPr>
                <w:b/>
                <w:color w:val="FFFFFF"/>
                <w:sz w:val="16"/>
              </w:rPr>
              <w:t>Review item</w:t>
            </w:r>
          </w:p>
        </w:tc>
        <w:tc>
          <w:tcPr>
            <w:tcW w:type="dxa" w:w="3456"/>
            <w:shd w:fill="17324D"/>
            <w:tcMar>
              <w:top w:w="80" w:type="dxa"/>
              <w:start w:w="100" w:type="dxa"/>
              <w:bottom w:w="80" w:type="dxa"/>
              <w:end w:w="100" w:type="dxa"/>
            </w:tcMar>
          </w:tcPr>
          <w:p>
            <w:pPr>
              <w:jc w:val="center"/>
            </w:pPr>
            <w:r>
              <w:rPr>
                <w:b/>
                <w:color w:val="FFFFFF"/>
                <w:sz w:val="16"/>
              </w:rPr>
              <w:t>Issue identified</w:t>
            </w:r>
          </w:p>
        </w:tc>
        <w:tc>
          <w:tcPr>
            <w:tcW w:type="dxa" w:w="5472"/>
            <w:shd w:fill="17324D"/>
            <w:tcMar>
              <w:top w:w="80" w:type="dxa"/>
              <w:start w:w="100" w:type="dxa"/>
              <w:bottom w:w="80" w:type="dxa"/>
              <w:end w:w="100" w:type="dxa"/>
            </w:tcMar>
          </w:tcPr>
          <w:p>
            <w:pPr>
              <w:jc w:val="center"/>
            </w:pPr>
            <w:r>
              <w:rPr>
                <w:b/>
                <w:color w:val="FFFFFF"/>
                <w:sz w:val="16"/>
              </w:rPr>
              <w:t>Refinement applied</w:t>
            </w:r>
          </w:p>
        </w:tc>
      </w:tr>
      <w:tr>
        <w:tc>
          <w:tcPr>
            <w:tcW w:type="dxa" w:w="2232"/>
            <w:tcMar>
              <w:top w:w="80" w:type="dxa"/>
              <w:start w:w="100" w:type="dxa"/>
              <w:bottom w:w="80" w:type="dxa"/>
              <w:end w:w="100" w:type="dxa"/>
            </w:tcMar>
            <w:shd w:fill="F7FAFC"/>
          </w:tcPr>
          <w:p>
            <w:pPr>
              <w:jc w:val="left"/>
            </w:pPr>
            <w:r>
              <w:rPr>
                <w:color w:val="1E293B"/>
                <w:sz w:val="16"/>
              </w:rPr>
              <w:t>Absolute revenue trend</w:t>
            </w:r>
          </w:p>
        </w:tc>
        <w:tc>
          <w:tcPr>
            <w:tcW w:type="dxa" w:w="3456"/>
            <w:tcMar>
              <w:top w:w="80" w:type="dxa"/>
              <w:start w:w="100" w:type="dxa"/>
              <w:bottom w:w="80" w:type="dxa"/>
              <w:end w:w="100" w:type="dxa"/>
            </w:tcMar>
            <w:shd w:fill="F7FAFC"/>
          </w:tcPr>
          <w:p>
            <w:pPr>
              <w:jc w:val="center"/>
            </w:pPr>
            <w:r>
              <w:rPr>
                <w:color w:val="1E293B"/>
                <w:sz w:val="16"/>
              </w:rPr>
              <w:t>Scale became the primary story</w:t>
            </w:r>
          </w:p>
        </w:tc>
        <w:tc>
          <w:tcPr>
            <w:tcW w:type="dxa" w:w="5472"/>
            <w:tcMar>
              <w:top w:w="80" w:type="dxa"/>
              <w:start w:w="100" w:type="dxa"/>
              <w:bottom w:w="80" w:type="dxa"/>
              <w:end w:w="100" w:type="dxa"/>
            </w:tcMar>
            <w:shd w:fill="F7FAFC"/>
          </w:tcPr>
          <w:p>
            <w:pPr>
              <w:jc w:val="center"/>
            </w:pPr>
            <w:r>
              <w:rPr>
                <w:color w:val="1E293B"/>
                <w:sz w:val="16"/>
              </w:rPr>
              <w:t>Retained as a dedicated scale chart; added direct latest-point labels.</w:t>
            </w:r>
          </w:p>
        </w:tc>
      </w:tr>
      <w:tr>
        <w:tc>
          <w:tcPr>
            <w:tcW w:type="dxa" w:w="2232"/>
            <w:tcMar>
              <w:top w:w="80" w:type="dxa"/>
              <w:start w:w="100" w:type="dxa"/>
              <w:bottom w:w="80" w:type="dxa"/>
              <w:end w:w="100" w:type="dxa"/>
            </w:tcMar>
          </w:tcPr>
          <w:p>
            <w:pPr>
              <w:jc w:val="left"/>
            </w:pPr>
            <w:r>
              <w:rPr>
                <w:color w:val="1E293B"/>
                <w:sz w:val="16"/>
              </w:rPr>
              <w:t>Indexed revenue</w:t>
            </w:r>
          </w:p>
        </w:tc>
        <w:tc>
          <w:tcPr>
            <w:tcW w:type="dxa" w:w="3456"/>
            <w:tcMar>
              <w:top w:w="80" w:type="dxa"/>
              <w:start w:w="100" w:type="dxa"/>
              <w:bottom w:w="80" w:type="dxa"/>
              <w:end w:w="100" w:type="dxa"/>
            </w:tcMar>
          </w:tcPr>
          <w:p>
            <w:pPr>
              <w:jc w:val="center"/>
            </w:pPr>
            <w:r>
              <w:rPr>
                <w:color w:val="1E293B"/>
                <w:sz w:val="16"/>
              </w:rPr>
              <w:t>Direct scale comparison obscured relative expansion</w:t>
            </w:r>
          </w:p>
        </w:tc>
        <w:tc>
          <w:tcPr>
            <w:tcW w:type="dxa" w:w="5472"/>
            <w:tcMar>
              <w:top w:w="80" w:type="dxa"/>
              <w:start w:w="100" w:type="dxa"/>
              <w:bottom w:w="80" w:type="dxa"/>
              <w:end w:w="100" w:type="dxa"/>
            </w:tcMar>
          </w:tcPr>
          <w:p>
            <w:pPr>
              <w:jc w:val="center"/>
            </w:pPr>
            <w:r>
              <w:rPr>
                <w:color w:val="1E293B"/>
                <w:sz w:val="16"/>
              </w:rPr>
              <w:t>Added Q1 FY24 = 100 indexing to make growth paths comparable.</w:t>
            </w:r>
          </w:p>
        </w:tc>
      </w:tr>
      <w:tr>
        <w:tc>
          <w:tcPr>
            <w:tcW w:type="dxa" w:w="2232"/>
            <w:tcMar>
              <w:top w:w="80" w:type="dxa"/>
              <w:start w:w="100" w:type="dxa"/>
              <w:bottom w:w="80" w:type="dxa"/>
              <w:end w:w="100" w:type="dxa"/>
            </w:tcMar>
            <w:shd w:fill="F7FAFC"/>
          </w:tcPr>
          <w:p>
            <w:pPr>
              <w:jc w:val="left"/>
            </w:pPr>
            <w:r>
              <w:rPr>
                <w:color w:val="1E293B"/>
                <w:sz w:val="16"/>
              </w:rPr>
              <w:t>YoY growth</w:t>
            </w:r>
          </w:p>
        </w:tc>
        <w:tc>
          <w:tcPr>
            <w:tcW w:type="dxa" w:w="3456"/>
            <w:tcMar>
              <w:top w:w="80" w:type="dxa"/>
              <w:start w:w="100" w:type="dxa"/>
              <w:bottom w:w="80" w:type="dxa"/>
              <w:end w:w="100" w:type="dxa"/>
            </w:tcMar>
            <w:shd w:fill="F7FAFC"/>
          </w:tcPr>
          <w:p>
            <w:pPr>
              <w:jc w:val="center"/>
            </w:pPr>
            <w:r>
              <w:rPr>
                <w:color w:val="1E293B"/>
                <w:sz w:val="16"/>
              </w:rPr>
              <w:t>Sequential movements could exaggerate seasonality</w:t>
            </w:r>
          </w:p>
        </w:tc>
        <w:tc>
          <w:tcPr>
            <w:tcW w:type="dxa" w:w="5472"/>
            <w:tcMar>
              <w:top w:w="80" w:type="dxa"/>
              <w:start w:w="100" w:type="dxa"/>
              <w:bottom w:w="80" w:type="dxa"/>
              <w:end w:w="100" w:type="dxa"/>
            </w:tcMar>
            <w:shd w:fill="F7FAFC"/>
          </w:tcPr>
          <w:p>
            <w:pPr>
              <w:jc w:val="center"/>
            </w:pPr>
            <w:r>
              <w:rPr>
                <w:color w:val="1E293B"/>
                <w:sz w:val="16"/>
              </w:rPr>
              <w:t>Used YoY growth for the main growth comparison and clearly labelled INR basis.</w:t>
            </w:r>
          </w:p>
        </w:tc>
      </w:tr>
      <w:tr>
        <w:tc>
          <w:tcPr>
            <w:tcW w:type="dxa" w:w="2232"/>
            <w:tcMar>
              <w:top w:w="80" w:type="dxa"/>
              <w:start w:w="100" w:type="dxa"/>
              <w:bottom w:w="80" w:type="dxa"/>
              <w:end w:w="100" w:type="dxa"/>
            </w:tcMar>
          </w:tcPr>
          <w:p>
            <w:pPr>
              <w:jc w:val="left"/>
            </w:pPr>
            <w:r>
              <w:rPr>
                <w:color w:val="1E293B"/>
                <w:sz w:val="16"/>
              </w:rPr>
              <w:t>Margin comparison</w:t>
            </w:r>
          </w:p>
        </w:tc>
        <w:tc>
          <w:tcPr>
            <w:tcW w:type="dxa" w:w="3456"/>
            <w:tcMar>
              <w:top w:w="80" w:type="dxa"/>
              <w:start w:w="100" w:type="dxa"/>
              <w:bottom w:w="80" w:type="dxa"/>
              <w:end w:w="100" w:type="dxa"/>
            </w:tcMar>
          </w:tcPr>
          <w:p>
            <w:pPr>
              <w:jc w:val="center"/>
            </w:pPr>
            <w:r>
              <w:rPr>
                <w:color w:val="1E293B"/>
                <w:sz w:val="16"/>
              </w:rPr>
              <w:t>Issuer and structured-series definitions differ</w:t>
            </w:r>
          </w:p>
        </w:tc>
        <w:tc>
          <w:tcPr>
            <w:tcW w:type="dxa" w:w="5472"/>
            <w:tcMar>
              <w:top w:w="80" w:type="dxa"/>
              <w:start w:w="100" w:type="dxa"/>
              <w:bottom w:w="80" w:type="dxa"/>
              <w:end w:w="100" w:type="dxa"/>
            </w:tcMar>
          </w:tcPr>
          <w:p>
            <w:pPr>
              <w:jc w:val="center"/>
            </w:pPr>
            <w:r>
              <w:rPr>
                <w:color w:val="1E293B"/>
                <w:sz w:val="16"/>
              </w:rPr>
              <w:t>Separated standardized historical margin charts from current issuer-validated margin snapshot.</w:t>
            </w:r>
          </w:p>
        </w:tc>
      </w:tr>
      <w:tr>
        <w:tc>
          <w:tcPr>
            <w:tcW w:type="dxa" w:w="2232"/>
            <w:tcMar>
              <w:top w:w="80" w:type="dxa"/>
              <w:start w:w="100" w:type="dxa"/>
              <w:bottom w:w="80" w:type="dxa"/>
              <w:end w:w="100" w:type="dxa"/>
            </w:tcMar>
            <w:shd w:fill="F7FAFC"/>
          </w:tcPr>
          <w:p>
            <w:pPr>
              <w:jc w:val="left"/>
            </w:pPr>
            <w:r>
              <w:rPr>
                <w:color w:val="1E293B"/>
                <w:sz w:val="16"/>
              </w:rPr>
              <w:t>Chart readability</w:t>
            </w:r>
          </w:p>
        </w:tc>
        <w:tc>
          <w:tcPr>
            <w:tcW w:type="dxa" w:w="3456"/>
            <w:tcMar>
              <w:top w:w="80" w:type="dxa"/>
              <w:start w:w="100" w:type="dxa"/>
              <w:bottom w:w="80" w:type="dxa"/>
              <w:end w:w="100" w:type="dxa"/>
            </w:tcMar>
            <w:shd w:fill="F7FAFC"/>
          </w:tcPr>
          <w:p>
            <w:pPr>
              <w:jc w:val="center"/>
            </w:pPr>
            <w:r>
              <w:rPr>
                <w:color w:val="1E293B"/>
                <w:sz w:val="16"/>
              </w:rPr>
              <w:t>Too many labels can reduce signal</w:t>
            </w:r>
          </w:p>
        </w:tc>
        <w:tc>
          <w:tcPr>
            <w:tcW w:type="dxa" w:w="5472"/>
            <w:tcMar>
              <w:top w:w="80" w:type="dxa"/>
              <w:start w:w="100" w:type="dxa"/>
              <w:bottom w:w="80" w:type="dxa"/>
              <w:end w:w="100" w:type="dxa"/>
            </w:tcMar>
            <w:shd w:fill="F7FAFC"/>
          </w:tcPr>
          <w:p>
            <w:pPr>
              <w:jc w:val="center"/>
            </w:pPr>
            <w:r>
              <w:rPr>
                <w:color w:val="1E293B"/>
                <w:sz w:val="16"/>
              </w:rPr>
              <w:t>Limited labels to decision-useful points and used consistent quarter ordering.</w:t>
            </w:r>
          </w:p>
        </w:tc>
      </w:tr>
      <w:tr>
        <w:tc>
          <w:tcPr>
            <w:tcW w:type="dxa" w:w="2232"/>
            <w:tcMar>
              <w:top w:w="80" w:type="dxa"/>
              <w:start w:w="100" w:type="dxa"/>
              <w:bottom w:w="80" w:type="dxa"/>
              <w:end w:w="100" w:type="dxa"/>
            </w:tcMar>
          </w:tcPr>
          <w:p>
            <w:pPr>
              <w:jc w:val="left"/>
            </w:pPr>
            <w:r>
              <w:rPr>
                <w:color w:val="1E293B"/>
                <w:sz w:val="16"/>
              </w:rPr>
              <w:t>Source transparency</w:t>
            </w:r>
          </w:p>
        </w:tc>
        <w:tc>
          <w:tcPr>
            <w:tcW w:type="dxa" w:w="3456"/>
            <w:tcMar>
              <w:top w:w="80" w:type="dxa"/>
              <w:start w:w="100" w:type="dxa"/>
              <w:bottom w:w="80" w:type="dxa"/>
              <w:end w:w="100" w:type="dxa"/>
            </w:tcMar>
          </w:tcPr>
          <w:p>
            <w:pPr>
              <w:jc w:val="center"/>
            </w:pPr>
            <w:r>
              <w:rPr>
                <w:color w:val="1E293B"/>
                <w:sz w:val="16"/>
              </w:rPr>
              <w:t>A clean chart can hide data limitations</w:t>
            </w:r>
          </w:p>
        </w:tc>
        <w:tc>
          <w:tcPr>
            <w:tcW w:type="dxa" w:w="5472"/>
            <w:tcMar>
              <w:top w:w="80" w:type="dxa"/>
              <w:start w:w="100" w:type="dxa"/>
              <w:bottom w:w="80" w:type="dxa"/>
              <w:end w:w="100" w:type="dxa"/>
            </w:tcMar>
          </w:tcPr>
          <w:p>
            <w:pPr>
              <w:jc w:val="center"/>
            </w:pPr>
            <w:r>
              <w:rPr>
                <w:color w:val="1E293B"/>
                <w:sz w:val="16"/>
              </w:rPr>
              <w:t>Basis notes and source hierarchy are carried into captions and interpretation boxes.</w:t>
            </w:r>
          </w:p>
        </w:tc>
      </w:tr>
    </w:tbl>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Quality-control principle</w:t>
            </w:r>
          </w:p>
          <w:p>
            <w:pPr>
              <w:spacing w:after="0"/>
            </w:pPr>
            <w:r>
              <w:rPr>
                <w:sz w:val="19"/>
              </w:rPr>
              <w:t>The final report does not attempt to make the dataset look more comparable than the underlying disclosure supports. Visual clarity is treated as part of analytical quality, not as a substitute for data validation.</w:t>
            </w:r>
          </w:p>
        </w:tc>
      </w:tr>
    </w:tbl>
    <w:p>
      <w:r>
        <w:br w:type="page"/>
      </w:r>
    </w:p>
    <w:p>
      <w:pPr>
        <w:pStyle w:val="Heading1"/>
        <w:spacing w:before="160" w:after="100"/>
      </w:pPr>
      <w:r>
        <w:rPr>
          <w:b/>
          <w:color w:val="17324D"/>
        </w:rPr>
        <w:t>8. Handoff to Week 4 — Forecasting &amp; Predictive Modelling</w:t>
      </w:r>
    </w:p>
    <w:p>
      <w:pPr>
        <w:spacing w:after="120" w:line="259" w:lineRule="auto"/>
      </w:pPr>
      <w:r>
        <w:rPr>
          <w:color w:val="1E293B"/>
          <w:sz w:val="19"/>
        </w:rPr>
        <w:t>The Week 3 visual layer identifies the variables and structural features that should inform the forecasting stage. The cleaned quarterly panel should remain the canonical input rather than being manually re-entered from charts.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24D"/>
            <w:tcMar>
              <w:top w:w="80" w:type="dxa"/>
              <w:start w:w="100" w:type="dxa"/>
              <w:bottom w:w="80" w:type="dxa"/>
              <w:end w:w="100" w:type="dxa"/>
            </w:tcMar>
          </w:tcPr>
          <w:p>
            <w:pPr>
              <w:jc w:val="center"/>
            </w:pPr>
            <w:r>
              <w:rPr>
                <w:b/>
                <w:color w:val="FFFFFF"/>
                <w:sz w:val="16"/>
              </w:rPr>
              <w:t>Model element</w:t>
            </w:r>
          </w:p>
        </w:tc>
        <w:tc>
          <w:tcPr>
            <w:tcW w:type="dxa" w:w="3744"/>
            <w:shd w:fill="17324D"/>
            <w:tcMar>
              <w:top w:w="80" w:type="dxa"/>
              <w:start w:w="100" w:type="dxa"/>
              <w:bottom w:w="80" w:type="dxa"/>
              <w:end w:w="100" w:type="dxa"/>
            </w:tcMar>
          </w:tcPr>
          <w:p>
            <w:pPr>
              <w:jc w:val="center"/>
            </w:pPr>
            <w:r>
              <w:rPr>
                <w:b/>
                <w:color w:val="FFFFFF"/>
                <w:sz w:val="16"/>
              </w:rPr>
              <w:t>Candidate input</w:t>
            </w:r>
          </w:p>
        </w:tc>
        <w:tc>
          <w:tcPr>
            <w:tcW w:type="dxa" w:w="5328"/>
            <w:shd w:fill="17324D"/>
            <w:tcMar>
              <w:top w:w="80" w:type="dxa"/>
              <w:start w:w="100" w:type="dxa"/>
              <w:bottom w:w="80" w:type="dxa"/>
              <w:end w:w="100" w:type="dxa"/>
            </w:tcMar>
          </w:tcPr>
          <w:p>
            <w:pPr>
              <w:jc w:val="center"/>
            </w:pPr>
            <w:r>
              <w:rPr>
                <w:b/>
                <w:color w:val="FFFFFF"/>
                <w:sz w:val="16"/>
              </w:rPr>
              <w:t>Control</w:t>
            </w:r>
          </w:p>
        </w:tc>
      </w:tr>
      <w:tr>
        <w:tc>
          <w:tcPr>
            <w:tcW w:type="dxa" w:w="2088"/>
            <w:tcMar>
              <w:top w:w="80" w:type="dxa"/>
              <w:start w:w="100" w:type="dxa"/>
              <w:bottom w:w="80" w:type="dxa"/>
              <w:end w:w="100" w:type="dxa"/>
            </w:tcMar>
            <w:shd w:fill="F7FAFC"/>
          </w:tcPr>
          <w:p>
            <w:pPr>
              <w:jc w:val="left"/>
            </w:pPr>
            <w:r>
              <w:rPr>
                <w:color w:val="1E293B"/>
                <w:sz w:val="16"/>
              </w:rPr>
              <w:t>Target candidate</w:t>
            </w:r>
          </w:p>
        </w:tc>
        <w:tc>
          <w:tcPr>
            <w:tcW w:type="dxa" w:w="3744"/>
            <w:tcMar>
              <w:top w:w="80" w:type="dxa"/>
              <w:start w:w="100" w:type="dxa"/>
              <w:bottom w:w="80" w:type="dxa"/>
              <w:end w:w="100" w:type="dxa"/>
            </w:tcMar>
            <w:shd w:fill="F7FAFC"/>
          </w:tcPr>
          <w:p>
            <w:pPr>
              <w:jc w:val="center"/>
            </w:pPr>
            <w:r>
              <w:rPr>
                <w:color w:val="1E293B"/>
                <w:sz w:val="16"/>
              </w:rPr>
              <w:t>Quarterly revenue</w:t>
            </w:r>
          </w:p>
        </w:tc>
        <w:tc>
          <w:tcPr>
            <w:tcW w:type="dxa" w:w="5328"/>
            <w:tcMar>
              <w:top w:w="80" w:type="dxa"/>
              <w:start w:w="100" w:type="dxa"/>
              <w:bottom w:w="80" w:type="dxa"/>
              <w:end w:w="100" w:type="dxa"/>
            </w:tcMar>
            <w:shd w:fill="F7FAFC"/>
          </w:tcPr>
          <w:p>
            <w:pPr>
              <w:jc w:val="center"/>
            </w:pPr>
            <w:r>
              <w:rPr>
                <w:color w:val="1E293B"/>
                <w:sz w:val="16"/>
              </w:rPr>
              <w:t>Primary forecast target; maintain the 13-quarter time order.</w:t>
            </w:r>
          </w:p>
        </w:tc>
      </w:tr>
      <w:tr>
        <w:tc>
          <w:tcPr>
            <w:tcW w:type="dxa" w:w="2088"/>
            <w:tcMar>
              <w:top w:w="80" w:type="dxa"/>
              <w:start w:w="100" w:type="dxa"/>
              <w:bottom w:w="80" w:type="dxa"/>
              <w:end w:w="100" w:type="dxa"/>
            </w:tcMar>
          </w:tcPr>
          <w:p>
            <w:pPr>
              <w:jc w:val="left"/>
            </w:pPr>
            <w:r>
              <w:rPr>
                <w:color w:val="1E293B"/>
                <w:sz w:val="16"/>
              </w:rPr>
              <w:t>Secondary target</w:t>
            </w:r>
          </w:p>
        </w:tc>
        <w:tc>
          <w:tcPr>
            <w:tcW w:type="dxa" w:w="3744"/>
            <w:tcMar>
              <w:top w:w="80" w:type="dxa"/>
              <w:start w:w="100" w:type="dxa"/>
              <w:bottom w:w="80" w:type="dxa"/>
              <w:end w:w="100" w:type="dxa"/>
            </w:tcMar>
          </w:tcPr>
          <w:p>
            <w:pPr>
              <w:jc w:val="center"/>
            </w:pPr>
            <w:r>
              <w:rPr>
                <w:color w:val="1E293B"/>
                <w:sz w:val="16"/>
              </w:rPr>
              <w:t>Panel operating margin</w:t>
            </w:r>
          </w:p>
        </w:tc>
        <w:tc>
          <w:tcPr>
            <w:tcW w:type="dxa" w:w="5328"/>
            <w:tcMar>
              <w:top w:w="80" w:type="dxa"/>
              <w:start w:w="100" w:type="dxa"/>
              <w:bottom w:w="80" w:type="dxa"/>
              <w:end w:w="100" w:type="dxa"/>
            </w:tcMar>
          </w:tcPr>
          <w:p>
            <w:pPr>
              <w:jc w:val="center"/>
            </w:pPr>
            <w:r>
              <w:rPr>
                <w:color w:val="1E293B"/>
                <w:sz w:val="16"/>
              </w:rPr>
              <w:t>Useful for a margin forecast, subject to definition caveat.</w:t>
            </w:r>
          </w:p>
        </w:tc>
      </w:tr>
      <w:tr>
        <w:tc>
          <w:tcPr>
            <w:tcW w:type="dxa" w:w="2088"/>
            <w:tcMar>
              <w:top w:w="80" w:type="dxa"/>
              <w:start w:w="100" w:type="dxa"/>
              <w:bottom w:w="80" w:type="dxa"/>
              <w:end w:w="100" w:type="dxa"/>
            </w:tcMar>
            <w:shd w:fill="F7FAFC"/>
          </w:tcPr>
          <w:p>
            <w:pPr>
              <w:jc w:val="left"/>
            </w:pPr>
            <w:r>
              <w:rPr>
                <w:color w:val="1E293B"/>
                <w:sz w:val="16"/>
              </w:rPr>
              <w:t>Predictors</w:t>
            </w:r>
          </w:p>
        </w:tc>
        <w:tc>
          <w:tcPr>
            <w:tcW w:type="dxa" w:w="3744"/>
            <w:tcMar>
              <w:top w:w="80" w:type="dxa"/>
              <w:start w:w="100" w:type="dxa"/>
              <w:bottom w:w="80" w:type="dxa"/>
              <w:end w:w="100" w:type="dxa"/>
            </w:tcMar>
            <w:shd w:fill="F7FAFC"/>
          </w:tcPr>
          <w:p>
            <w:pPr>
              <w:jc w:val="center"/>
            </w:pPr>
            <w:r>
              <w:rPr>
                <w:color w:val="1E293B"/>
                <w:sz w:val="16"/>
              </w:rPr>
              <w:t>Lagged revenue / growth, quarter position, prior-year revenue</w:t>
            </w:r>
          </w:p>
        </w:tc>
        <w:tc>
          <w:tcPr>
            <w:tcW w:type="dxa" w:w="5328"/>
            <w:tcMar>
              <w:top w:w="80" w:type="dxa"/>
              <w:start w:w="100" w:type="dxa"/>
              <w:bottom w:w="80" w:type="dxa"/>
              <w:end w:w="100" w:type="dxa"/>
            </w:tcMar>
            <w:shd w:fill="F7FAFC"/>
          </w:tcPr>
          <w:p>
            <w:pPr>
              <w:jc w:val="center"/>
            </w:pPr>
            <w:r>
              <w:rPr>
                <w:color w:val="1E293B"/>
                <w:sz w:val="16"/>
              </w:rPr>
              <w:t>Suitable for baseline time-series or regression specifications.</w:t>
            </w:r>
          </w:p>
        </w:tc>
      </w:tr>
      <w:tr>
        <w:tc>
          <w:tcPr>
            <w:tcW w:type="dxa" w:w="2088"/>
            <w:tcMar>
              <w:top w:w="80" w:type="dxa"/>
              <w:start w:w="100" w:type="dxa"/>
              <w:bottom w:w="80" w:type="dxa"/>
              <w:end w:w="100" w:type="dxa"/>
            </w:tcMar>
          </w:tcPr>
          <w:p>
            <w:pPr>
              <w:jc w:val="left"/>
            </w:pPr>
            <w:r>
              <w:rPr>
                <w:color w:val="1E293B"/>
                <w:sz w:val="16"/>
              </w:rPr>
              <w:t>Validation design</w:t>
            </w:r>
          </w:p>
        </w:tc>
        <w:tc>
          <w:tcPr>
            <w:tcW w:type="dxa" w:w="3744"/>
            <w:tcMar>
              <w:top w:w="80" w:type="dxa"/>
              <w:start w:w="100" w:type="dxa"/>
              <w:bottom w:w="80" w:type="dxa"/>
              <w:end w:w="100" w:type="dxa"/>
            </w:tcMar>
          </w:tcPr>
          <w:p>
            <w:pPr>
              <w:jc w:val="center"/>
            </w:pPr>
            <w:r>
              <w:rPr>
                <w:color w:val="1E293B"/>
                <w:sz w:val="16"/>
              </w:rPr>
              <w:t>Time-ordered train/test split</w:t>
            </w:r>
          </w:p>
        </w:tc>
        <w:tc>
          <w:tcPr>
            <w:tcW w:type="dxa" w:w="5328"/>
            <w:tcMar>
              <w:top w:w="80" w:type="dxa"/>
              <w:start w:w="100" w:type="dxa"/>
              <w:bottom w:w="80" w:type="dxa"/>
              <w:end w:w="100" w:type="dxa"/>
            </w:tcMar>
          </w:tcPr>
          <w:p>
            <w:pPr>
              <w:jc w:val="center"/>
            </w:pPr>
            <w:r>
              <w:rPr>
                <w:color w:val="1E293B"/>
                <w:sz w:val="16"/>
              </w:rPr>
              <w:t>Prevents look-ahead and preserves temporal structure.</w:t>
            </w:r>
          </w:p>
        </w:tc>
      </w:tr>
      <w:tr>
        <w:tc>
          <w:tcPr>
            <w:tcW w:type="dxa" w:w="2088"/>
            <w:tcMar>
              <w:top w:w="80" w:type="dxa"/>
              <w:start w:w="100" w:type="dxa"/>
              <w:bottom w:w="80" w:type="dxa"/>
              <w:end w:w="100" w:type="dxa"/>
            </w:tcMar>
            <w:shd w:fill="F7FAFC"/>
          </w:tcPr>
          <w:p>
            <w:pPr>
              <w:jc w:val="left"/>
            </w:pPr>
            <w:r>
              <w:rPr>
                <w:color w:val="1E293B"/>
                <w:sz w:val="16"/>
              </w:rPr>
              <w:t>Evaluation</w:t>
            </w:r>
          </w:p>
        </w:tc>
        <w:tc>
          <w:tcPr>
            <w:tcW w:type="dxa" w:w="3744"/>
            <w:tcMar>
              <w:top w:w="80" w:type="dxa"/>
              <w:start w:w="100" w:type="dxa"/>
              <w:bottom w:w="80" w:type="dxa"/>
              <w:end w:w="100" w:type="dxa"/>
            </w:tcMar>
            <w:shd w:fill="F7FAFC"/>
          </w:tcPr>
          <w:p>
            <w:pPr>
              <w:jc w:val="center"/>
            </w:pPr>
            <w:r>
              <w:rPr>
                <w:color w:val="1E293B"/>
                <w:sz w:val="16"/>
              </w:rPr>
              <w:t>MAE / RMSE / MAPE where appropriate</w:t>
            </w:r>
          </w:p>
        </w:tc>
        <w:tc>
          <w:tcPr>
            <w:tcW w:type="dxa" w:w="5328"/>
            <w:tcMar>
              <w:top w:w="80" w:type="dxa"/>
              <w:start w:w="100" w:type="dxa"/>
              <w:bottom w:w="80" w:type="dxa"/>
              <w:end w:w="100" w:type="dxa"/>
            </w:tcMar>
            <w:shd w:fill="F7FAFC"/>
          </w:tcPr>
          <w:p>
            <w:pPr>
              <w:jc w:val="center"/>
            </w:pPr>
            <w:r>
              <w:rPr>
                <w:color w:val="1E293B"/>
                <w:sz w:val="16"/>
              </w:rPr>
              <w:t>Compare models on held-out observations rather than in-sample fit alone.</w:t>
            </w:r>
          </w:p>
        </w:tc>
      </w:tr>
      <w:tr>
        <w:tc>
          <w:tcPr>
            <w:tcW w:type="dxa" w:w="2088"/>
            <w:tcMar>
              <w:top w:w="80" w:type="dxa"/>
              <w:start w:w="100" w:type="dxa"/>
              <w:bottom w:w="80" w:type="dxa"/>
              <w:end w:w="100" w:type="dxa"/>
            </w:tcMar>
          </w:tcPr>
          <w:p>
            <w:pPr>
              <w:jc w:val="left"/>
            </w:pPr>
            <w:r>
              <w:rPr>
                <w:color w:val="1E293B"/>
                <w:sz w:val="16"/>
              </w:rPr>
              <w:t>Risk control</w:t>
            </w:r>
          </w:p>
        </w:tc>
        <w:tc>
          <w:tcPr>
            <w:tcW w:type="dxa" w:w="3744"/>
            <w:tcMar>
              <w:top w:w="80" w:type="dxa"/>
              <w:start w:w="100" w:type="dxa"/>
              <w:bottom w:w="80" w:type="dxa"/>
              <w:end w:w="100" w:type="dxa"/>
            </w:tcMar>
          </w:tcPr>
          <w:p>
            <w:pPr>
              <w:jc w:val="center"/>
            </w:pPr>
            <w:r>
              <w:rPr>
                <w:color w:val="1E293B"/>
                <w:sz w:val="16"/>
              </w:rPr>
              <w:t>Issuer basis and current-quarter cut-off</w:t>
            </w:r>
          </w:p>
        </w:tc>
        <w:tc>
          <w:tcPr>
            <w:tcW w:type="dxa" w:w="5328"/>
            <w:tcMar>
              <w:top w:w="80" w:type="dxa"/>
              <w:start w:w="100" w:type="dxa"/>
              <w:bottom w:w="80" w:type="dxa"/>
              <w:end w:w="100" w:type="dxa"/>
            </w:tcMar>
          </w:tcPr>
          <w:p>
            <w:pPr>
              <w:jc w:val="center"/>
            </w:pPr>
            <w:r>
              <w:rPr>
                <w:color w:val="1E293B"/>
                <w:sz w:val="16"/>
              </w:rPr>
              <w:t>Do not use information published after the Q1 FY27 cut-off in model inputs.</w:t>
            </w:r>
          </w:p>
        </w:tc>
      </w:tr>
    </w:tbl>
    <w:p>
      <w:pPr>
        <w:spacing w:after="120" w:line="259" w:lineRule="auto"/>
      </w:pPr>
      <w:r>
        <w:rPr>
          <w:color w:val="1E293B"/>
          <w:sz w:val="19"/>
        </w:rPr>
        <w:t>Week 4 should test whether the visualized trends translate into stable predictive relationships. A model that fits historical data well but fails on held-out quarters should not be treated as reliable. The current-quarter issuer snapshot can be used for contextual checks, but the forecasting feature set should be time-consistent.</w:t>
      </w:r>
    </w:p>
    <w:p>
      <w:r>
        <w:br w:type="page"/>
      </w:r>
    </w:p>
    <w:p>
      <w:pPr>
        <w:pStyle w:val="Heading1"/>
        <w:spacing w:before="160" w:after="100"/>
      </w:pPr>
      <w:r>
        <w:rPr>
          <w:b/>
          <w:color w:val="17324D"/>
        </w:rPr>
        <w:t>9. Limitations, Sources and Data Governance</w:t>
      </w:r>
    </w:p>
    <w:p>
      <w:pPr>
        <w:pStyle w:val="Heading2"/>
        <w:spacing w:before="100" w:after="100"/>
      </w:pPr>
      <w:r>
        <w:rPr>
          <w:color w:val="007F86"/>
        </w:rPr>
        <w:t>9.1 Limitations</w:t>
      </w:r>
    </w:p>
    <w:p>
      <w:pPr>
        <w:pStyle w:val="ListBullet"/>
        <w:spacing w:after="60"/>
      </w:pPr>
      <w:r>
        <w:rPr>
          <w:color w:val="1E293B"/>
          <w:sz w:val="19"/>
        </w:rPr>
        <w:t>The historical common panel is sourced from the structured public-data extraction layer retained in Week 2; primary-source reconciliation is a continuing control rather than a claim that every historical point is independently audited.</w:t>
      </w:r>
    </w:p>
    <w:p>
      <w:pPr>
        <w:pStyle w:val="ListBullet"/>
        <w:spacing w:after="60"/>
      </w:pPr>
      <w:r>
        <w:rPr>
          <w:color w:val="1E293B"/>
          <w:sz w:val="19"/>
        </w:rPr>
        <w:t>The standardized operating-profit field is not identical to each issuer's current EBIT or segment operating-margin definition. Historical margin charts therefore require basis-aware interpretation.</w:t>
      </w:r>
    </w:p>
    <w:p>
      <w:pPr>
        <w:pStyle w:val="ListBullet"/>
        <w:spacing w:after="60"/>
      </w:pPr>
      <w:r>
        <w:rPr>
          <w:color w:val="1E293B"/>
          <w:sz w:val="19"/>
        </w:rPr>
        <w:t>INR-reported growth can differ from constant-currency growth for globally exposed companies. The report does not collapse those measures into a single “true growth” figure.</w:t>
      </w:r>
    </w:p>
    <w:p>
      <w:pPr>
        <w:pStyle w:val="ListBullet"/>
        <w:spacing w:after="60"/>
      </w:pPr>
      <w:r>
        <w:rPr>
          <w:color w:val="1E293B"/>
          <w:sz w:val="19"/>
        </w:rPr>
        <w:t>The project is a simulated internship workflow using public information and should be refreshed against the latest issuer filings before any real-world use.</w:t>
      </w:r>
    </w:p>
    <w:p>
      <w:pPr>
        <w:pStyle w:val="Heading2"/>
        <w:spacing w:before="100" w:after="100"/>
      </w:pPr>
      <w:r>
        <w:rPr>
          <w:color w:val="007F86"/>
        </w:rPr>
        <w:t>9.2 Source hierarchy used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shd w:fill="17324D"/>
            <w:tcMar>
              <w:top w:w="80" w:type="dxa"/>
              <w:start w:w="100" w:type="dxa"/>
              <w:bottom w:w="80" w:type="dxa"/>
              <w:end w:w="100" w:type="dxa"/>
            </w:tcMar>
          </w:tcPr>
          <w:p>
            <w:pPr>
              <w:jc w:val="center"/>
            </w:pPr>
            <w:r>
              <w:rPr>
                <w:b/>
                <w:color w:val="FFFFFF"/>
                <w:sz w:val="15"/>
              </w:rPr>
              <w:t>Priority</w:t>
            </w:r>
          </w:p>
        </w:tc>
        <w:tc>
          <w:tcPr>
            <w:tcW w:type="dxa" w:w="3096"/>
            <w:shd w:fill="17324D"/>
            <w:tcMar>
              <w:top w:w="80" w:type="dxa"/>
              <w:start w:w="100" w:type="dxa"/>
              <w:bottom w:w="80" w:type="dxa"/>
              <w:end w:w="100" w:type="dxa"/>
            </w:tcMar>
          </w:tcPr>
          <w:p>
            <w:pPr>
              <w:jc w:val="center"/>
            </w:pPr>
            <w:r>
              <w:rPr>
                <w:b/>
                <w:color w:val="FFFFFF"/>
                <w:sz w:val="15"/>
              </w:rPr>
              <w:t>Source</w:t>
            </w:r>
          </w:p>
        </w:tc>
        <w:tc>
          <w:tcPr>
            <w:tcW w:type="dxa" w:w="3672"/>
            <w:shd w:fill="17324D"/>
            <w:tcMar>
              <w:top w:w="80" w:type="dxa"/>
              <w:start w:w="100" w:type="dxa"/>
              <w:bottom w:w="80" w:type="dxa"/>
              <w:end w:w="100" w:type="dxa"/>
            </w:tcMar>
          </w:tcPr>
          <w:p>
            <w:pPr>
              <w:jc w:val="center"/>
            </w:pPr>
            <w:r>
              <w:rPr>
                <w:b/>
                <w:color w:val="FFFFFF"/>
                <w:sz w:val="15"/>
              </w:rPr>
              <w:t>Use</w:t>
            </w:r>
          </w:p>
        </w:tc>
        <w:tc>
          <w:tcPr>
            <w:tcW w:type="dxa" w:w="4176"/>
            <w:shd w:fill="17324D"/>
            <w:tcMar>
              <w:top w:w="80" w:type="dxa"/>
              <w:start w:w="100" w:type="dxa"/>
              <w:bottom w:w="80" w:type="dxa"/>
              <w:end w:w="100" w:type="dxa"/>
            </w:tcMar>
          </w:tcPr>
          <w:p>
            <w:pPr>
              <w:jc w:val="center"/>
            </w:pPr>
            <w:r>
              <w:rPr>
                <w:b/>
                <w:color w:val="FFFFFF"/>
                <w:sz w:val="15"/>
              </w:rPr>
              <w:t>Reference</w:t>
            </w:r>
          </w:p>
        </w:tc>
      </w:tr>
      <w:tr>
        <w:tc>
          <w:tcPr>
            <w:tcW w:type="dxa" w:w="864"/>
            <w:tcMar>
              <w:top w:w="80" w:type="dxa"/>
              <w:start w:w="100" w:type="dxa"/>
              <w:bottom w:w="80" w:type="dxa"/>
              <w:end w:w="100" w:type="dxa"/>
            </w:tcMar>
            <w:shd w:fill="F7FAFC"/>
          </w:tcPr>
          <w:p>
            <w:pPr>
              <w:jc w:val="left"/>
            </w:pPr>
            <w:r>
              <w:rPr>
                <w:color w:val="1E293B"/>
                <w:sz w:val="15"/>
              </w:rPr>
              <w:t>1</w:t>
            </w:r>
          </w:p>
        </w:tc>
        <w:tc>
          <w:tcPr>
            <w:tcW w:type="dxa" w:w="3096"/>
            <w:tcMar>
              <w:top w:w="80" w:type="dxa"/>
              <w:start w:w="100" w:type="dxa"/>
              <w:bottom w:w="80" w:type="dxa"/>
              <w:end w:w="100" w:type="dxa"/>
            </w:tcMar>
            <w:shd w:fill="F7FAFC"/>
          </w:tcPr>
          <w:p>
            <w:pPr>
              <w:jc w:val="center"/>
            </w:pPr>
            <w:r>
              <w:rPr>
                <w:color w:val="1E293B"/>
                <w:sz w:val="15"/>
              </w:rPr>
              <w:t>TCS Investor Relations / Q1 FY27 Results</w:t>
            </w:r>
          </w:p>
        </w:tc>
        <w:tc>
          <w:tcPr>
            <w:tcW w:type="dxa" w:w="3672"/>
            <w:tcMar>
              <w:top w:w="80" w:type="dxa"/>
              <w:start w:w="100" w:type="dxa"/>
              <w:bottom w:w="80" w:type="dxa"/>
              <w:end w:w="100" w:type="dxa"/>
            </w:tcMar>
            <w:shd w:fill="F7FAFC"/>
          </w:tcPr>
          <w:p>
            <w:pPr>
              <w:jc w:val="center"/>
            </w:pPr>
            <w:r>
              <w:rPr>
                <w:color w:val="1E293B"/>
                <w:sz w:val="15"/>
              </w:rPr>
              <w:t>Issuer source of record</w:t>
            </w:r>
          </w:p>
        </w:tc>
        <w:tc>
          <w:tcPr>
            <w:tcW w:type="dxa" w:w="4176"/>
            <w:tcMar>
              <w:top w:w="80" w:type="dxa"/>
              <w:start w:w="100" w:type="dxa"/>
              <w:bottom w:w="80" w:type="dxa"/>
              <w:end w:w="100" w:type="dxa"/>
            </w:tcMar>
            <w:shd w:fill="F7FAFC"/>
          </w:tcPr>
          <w:p>
            <w:pPr>
              <w:jc w:val="center"/>
            </w:pPr>
            <w:r>
              <w:rPr>
                <w:color w:val="1E293B"/>
                <w:sz w:val="15"/>
              </w:rPr>
              <w:t>https://www.tcs.com/who-we-are/newsroom/press-release/tcs-financial-results-q1-fy-2027</w:t>
            </w:r>
          </w:p>
        </w:tc>
      </w:tr>
      <w:tr>
        <w:tc>
          <w:tcPr>
            <w:tcW w:type="dxa" w:w="864"/>
            <w:tcMar>
              <w:top w:w="80" w:type="dxa"/>
              <w:start w:w="100" w:type="dxa"/>
              <w:bottom w:w="80" w:type="dxa"/>
              <w:end w:w="100" w:type="dxa"/>
            </w:tcMar>
          </w:tcPr>
          <w:p>
            <w:pPr>
              <w:jc w:val="left"/>
            </w:pPr>
            <w:r>
              <w:rPr>
                <w:color w:val="1E293B"/>
                <w:sz w:val="15"/>
              </w:rPr>
              <w:t>1</w:t>
            </w:r>
          </w:p>
        </w:tc>
        <w:tc>
          <w:tcPr>
            <w:tcW w:type="dxa" w:w="3096"/>
            <w:tcMar>
              <w:top w:w="80" w:type="dxa"/>
              <w:start w:w="100" w:type="dxa"/>
              <w:bottom w:w="80" w:type="dxa"/>
              <w:end w:w="100" w:type="dxa"/>
            </w:tcMar>
          </w:tcPr>
          <w:p>
            <w:pPr>
              <w:jc w:val="center"/>
            </w:pPr>
            <w:r>
              <w:rPr>
                <w:color w:val="1E293B"/>
                <w:sz w:val="15"/>
              </w:rPr>
              <w:t>Infosys Q1 FY27 Financial Snapshot</w:t>
            </w:r>
          </w:p>
        </w:tc>
        <w:tc>
          <w:tcPr>
            <w:tcW w:type="dxa" w:w="3672"/>
            <w:tcMar>
              <w:top w:w="80" w:type="dxa"/>
              <w:start w:w="100" w:type="dxa"/>
              <w:bottom w:w="80" w:type="dxa"/>
              <w:end w:w="100" w:type="dxa"/>
            </w:tcMar>
          </w:tcPr>
          <w:p>
            <w:pPr>
              <w:jc w:val="center"/>
            </w:pPr>
            <w:r>
              <w:rPr>
                <w:color w:val="1E293B"/>
                <w:sz w:val="15"/>
              </w:rPr>
              <w:t>Issuer source of record</w:t>
            </w:r>
          </w:p>
        </w:tc>
        <w:tc>
          <w:tcPr>
            <w:tcW w:type="dxa" w:w="4176"/>
            <w:tcMar>
              <w:top w:w="80" w:type="dxa"/>
              <w:start w:w="100" w:type="dxa"/>
              <w:bottom w:w="80" w:type="dxa"/>
              <w:end w:w="100" w:type="dxa"/>
            </w:tcMar>
          </w:tcPr>
          <w:p>
            <w:pPr>
              <w:jc w:val="center"/>
            </w:pPr>
            <w:r>
              <w:rPr>
                <w:color w:val="1E293B"/>
                <w:sz w:val="15"/>
              </w:rPr>
              <w:t>https://www.infosys.com/about/last-quarter.html</w:t>
            </w:r>
          </w:p>
        </w:tc>
      </w:tr>
      <w:tr>
        <w:tc>
          <w:tcPr>
            <w:tcW w:type="dxa" w:w="864"/>
            <w:tcMar>
              <w:top w:w="80" w:type="dxa"/>
              <w:start w:w="100" w:type="dxa"/>
              <w:bottom w:w="80" w:type="dxa"/>
              <w:end w:w="100" w:type="dxa"/>
            </w:tcMar>
            <w:shd w:fill="F7FAFC"/>
          </w:tcPr>
          <w:p>
            <w:pPr>
              <w:jc w:val="left"/>
            </w:pPr>
            <w:r>
              <w:rPr>
                <w:color w:val="1E293B"/>
                <w:sz w:val="15"/>
              </w:rPr>
              <w:t>1</w:t>
            </w:r>
          </w:p>
        </w:tc>
        <w:tc>
          <w:tcPr>
            <w:tcW w:type="dxa" w:w="3096"/>
            <w:tcMar>
              <w:top w:w="80" w:type="dxa"/>
              <w:start w:w="100" w:type="dxa"/>
              <w:bottom w:w="80" w:type="dxa"/>
              <w:end w:w="100" w:type="dxa"/>
            </w:tcMar>
            <w:shd w:fill="F7FAFC"/>
          </w:tcPr>
          <w:p>
            <w:pPr>
              <w:jc w:val="center"/>
            </w:pPr>
            <w:r>
              <w:rPr>
                <w:color w:val="1E293B"/>
                <w:sz w:val="15"/>
              </w:rPr>
              <w:t>HCLTech Investor Relations / Q1 FY27 Performance</w:t>
            </w:r>
          </w:p>
        </w:tc>
        <w:tc>
          <w:tcPr>
            <w:tcW w:type="dxa" w:w="3672"/>
            <w:tcMar>
              <w:top w:w="80" w:type="dxa"/>
              <w:start w:w="100" w:type="dxa"/>
              <w:bottom w:w="80" w:type="dxa"/>
              <w:end w:w="100" w:type="dxa"/>
            </w:tcMar>
            <w:shd w:fill="F7FAFC"/>
          </w:tcPr>
          <w:p>
            <w:pPr>
              <w:jc w:val="center"/>
            </w:pPr>
            <w:r>
              <w:rPr>
                <w:color w:val="1E293B"/>
                <w:sz w:val="15"/>
              </w:rPr>
              <w:t>Issuer source of record</w:t>
            </w:r>
          </w:p>
        </w:tc>
        <w:tc>
          <w:tcPr>
            <w:tcW w:type="dxa" w:w="4176"/>
            <w:tcMar>
              <w:top w:w="80" w:type="dxa"/>
              <w:start w:w="100" w:type="dxa"/>
              <w:bottom w:w="80" w:type="dxa"/>
              <w:end w:w="100" w:type="dxa"/>
            </w:tcMar>
            <w:shd w:fill="F7FAFC"/>
          </w:tcPr>
          <w:p>
            <w:pPr>
              <w:jc w:val="center"/>
            </w:pPr>
            <w:r>
              <w:rPr>
                <w:color w:val="1E293B"/>
                <w:sz w:val="15"/>
              </w:rPr>
              <w:t>https://www.hcltech.com/investor-relations</w:t>
            </w:r>
          </w:p>
        </w:tc>
      </w:tr>
      <w:tr>
        <w:tc>
          <w:tcPr>
            <w:tcW w:type="dxa" w:w="864"/>
            <w:tcMar>
              <w:top w:w="80" w:type="dxa"/>
              <w:start w:w="100" w:type="dxa"/>
              <w:bottom w:w="80" w:type="dxa"/>
              <w:end w:w="100" w:type="dxa"/>
            </w:tcMar>
          </w:tcPr>
          <w:p>
            <w:pPr>
              <w:jc w:val="left"/>
            </w:pPr>
            <w:r>
              <w:rPr>
                <w:color w:val="1E293B"/>
                <w:sz w:val="15"/>
              </w:rPr>
              <w:t>1</w:t>
            </w:r>
          </w:p>
        </w:tc>
        <w:tc>
          <w:tcPr>
            <w:tcW w:type="dxa" w:w="3096"/>
            <w:tcMar>
              <w:top w:w="80" w:type="dxa"/>
              <w:start w:w="100" w:type="dxa"/>
              <w:bottom w:w="80" w:type="dxa"/>
              <w:end w:w="100" w:type="dxa"/>
            </w:tcMar>
          </w:tcPr>
          <w:p>
            <w:pPr>
              <w:jc w:val="center"/>
            </w:pPr>
            <w:r>
              <w:rPr>
                <w:color w:val="1E293B"/>
                <w:sz w:val="15"/>
              </w:rPr>
              <w:t>Wipro Q1 FY27 Results</w:t>
            </w:r>
          </w:p>
        </w:tc>
        <w:tc>
          <w:tcPr>
            <w:tcW w:type="dxa" w:w="3672"/>
            <w:tcMar>
              <w:top w:w="80" w:type="dxa"/>
              <w:start w:w="100" w:type="dxa"/>
              <w:bottom w:w="80" w:type="dxa"/>
              <w:end w:w="100" w:type="dxa"/>
            </w:tcMar>
          </w:tcPr>
          <w:p>
            <w:pPr>
              <w:jc w:val="center"/>
            </w:pPr>
            <w:r>
              <w:rPr>
                <w:color w:val="1E293B"/>
                <w:sz w:val="15"/>
              </w:rPr>
              <w:t>Issuer source of record</w:t>
            </w:r>
          </w:p>
        </w:tc>
        <w:tc>
          <w:tcPr>
            <w:tcW w:type="dxa" w:w="4176"/>
            <w:tcMar>
              <w:top w:w="80" w:type="dxa"/>
              <w:start w:w="100" w:type="dxa"/>
              <w:bottom w:w="80" w:type="dxa"/>
              <w:end w:w="100" w:type="dxa"/>
            </w:tcMar>
          </w:tcPr>
          <w:p>
            <w:pPr>
              <w:jc w:val="center"/>
            </w:pPr>
            <w:r>
              <w:rPr>
                <w:color w:val="1E293B"/>
                <w:sz w:val="15"/>
              </w:rPr>
              <w:t>https://www.wipro.com/newsroom/press-releases/2026/wipro-announces-results-for-the-quarter-ended-june-30-2026/</w:t>
            </w:r>
          </w:p>
        </w:tc>
      </w:tr>
      <w:tr>
        <w:tc>
          <w:tcPr>
            <w:tcW w:type="dxa" w:w="864"/>
            <w:tcMar>
              <w:top w:w="80" w:type="dxa"/>
              <w:start w:w="100" w:type="dxa"/>
              <w:bottom w:w="80" w:type="dxa"/>
              <w:end w:w="100" w:type="dxa"/>
            </w:tcMar>
            <w:shd w:fill="F7FAFC"/>
          </w:tcPr>
          <w:p>
            <w:pPr>
              <w:jc w:val="left"/>
            </w:pPr>
            <w:r>
              <w:rPr>
                <w:color w:val="1E293B"/>
                <w:sz w:val="15"/>
              </w:rPr>
              <w:t>2</w:t>
            </w:r>
          </w:p>
        </w:tc>
        <w:tc>
          <w:tcPr>
            <w:tcW w:type="dxa" w:w="3096"/>
            <w:tcMar>
              <w:top w:w="80" w:type="dxa"/>
              <w:start w:w="100" w:type="dxa"/>
              <w:bottom w:w="80" w:type="dxa"/>
              <w:end w:w="100" w:type="dxa"/>
            </w:tcMar>
            <w:shd w:fill="F7FAFC"/>
          </w:tcPr>
          <w:p>
            <w:pPr>
              <w:jc w:val="center"/>
            </w:pPr>
            <w:r>
              <w:rPr>
                <w:color w:val="1E293B"/>
                <w:sz w:val="15"/>
              </w:rPr>
              <w:t>Screener consolidated company pages</w:t>
            </w:r>
          </w:p>
        </w:tc>
        <w:tc>
          <w:tcPr>
            <w:tcW w:type="dxa" w:w="3672"/>
            <w:tcMar>
              <w:top w:w="80" w:type="dxa"/>
              <w:start w:w="100" w:type="dxa"/>
              <w:bottom w:w="80" w:type="dxa"/>
              <w:end w:w="100" w:type="dxa"/>
            </w:tcMar>
            <w:shd w:fill="F7FAFC"/>
          </w:tcPr>
          <w:p>
            <w:pPr>
              <w:jc w:val="center"/>
            </w:pPr>
            <w:r>
              <w:rPr>
                <w:color w:val="1E293B"/>
                <w:sz w:val="15"/>
              </w:rPr>
              <w:t>Structured historical extraction / reconciliation layer</w:t>
            </w:r>
          </w:p>
        </w:tc>
        <w:tc>
          <w:tcPr>
            <w:tcW w:type="dxa" w:w="4176"/>
            <w:tcMar>
              <w:top w:w="80" w:type="dxa"/>
              <w:start w:w="100" w:type="dxa"/>
              <w:bottom w:w="80" w:type="dxa"/>
              <w:end w:w="100" w:type="dxa"/>
            </w:tcMar>
            <w:shd w:fill="F7FAFC"/>
          </w:tcPr>
          <w:p>
            <w:pPr>
              <w:jc w:val="center"/>
            </w:pPr>
            <w:r>
              <w:rPr>
                <w:color w:val="1E293B"/>
                <w:sz w:val="15"/>
              </w:rPr>
              <w:t>https://www.screener.in/</w:t>
            </w:r>
          </w:p>
        </w:tc>
      </w:tr>
    </w:tbl>
    <w:p>
      <w:pPr>
        <w:pStyle w:val="Heading2"/>
        <w:spacing w:before="100" w:after="100"/>
      </w:pPr>
      <w:r>
        <w:rPr>
          <w:color w:val="007F86"/>
        </w:rPr>
        <w:t>9.3 Project files produced</w:t>
      </w:r>
    </w:p>
    <w:p>
      <w:pPr>
        <w:pStyle w:val="ListBullet"/>
        <w:spacing w:after="60"/>
      </w:pPr>
      <w:r>
        <w:rPr>
          <w:color w:val="1E293B"/>
          <w:sz w:val="19"/>
        </w:rPr>
        <w:t>Week 3 DOCX report with embedded analytical figures and interpretation.</w:t>
      </w:r>
    </w:p>
    <w:p>
      <w:pPr>
        <w:pStyle w:val="ListBullet"/>
        <w:spacing w:after="60"/>
      </w:pPr>
      <w:r>
        <w:rPr>
          <w:color w:val="1E293B"/>
          <w:sz w:val="19"/>
        </w:rPr>
        <w:t>Python visualization script for reproducible chart generation.</w:t>
      </w:r>
    </w:p>
    <w:p>
      <w:pPr>
        <w:pStyle w:val="ListBullet"/>
        <w:spacing w:after="60"/>
      </w:pPr>
      <w:r>
        <w:rPr>
          <w:color w:val="1E293B"/>
          <w:sz w:val="19"/>
        </w:rPr>
        <w:t>Jupyter notebook for interactive review of the cleaned panel.</w:t>
      </w:r>
    </w:p>
    <w:p>
      <w:pPr>
        <w:pStyle w:val="ListBullet"/>
        <w:spacing w:after="60"/>
      </w:pPr>
      <w:r>
        <w:rPr>
          <w:color w:val="1E293B"/>
          <w:sz w:val="19"/>
        </w:rPr>
        <w:t>Derived summary CSVs for growth, volatility and Q1 FY27 issuer snapshot.</w:t>
      </w:r>
    </w:p>
    <w:p>
      <w:pPr>
        <w:pStyle w:val="ListBullet"/>
        <w:spacing w:after="60"/>
      </w:pPr>
      <w:r>
        <w:rPr>
          <w:color w:val="1E293B"/>
          <w:sz w:val="19"/>
        </w:rPr>
        <w:t>Portal description text for the Yuvaintern submission field.</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20"/>
              </w:rPr>
              <w:t>Disclaimer</w:t>
            </w:r>
          </w:p>
          <w:p>
            <w:pPr>
              <w:spacing w:after="0"/>
            </w:pPr>
            <w:r>
              <w:rPr>
                <w:sz w:val="19"/>
              </w:rPr>
              <w:t>Educational internship simulation. This report is not investment advice, a research recommendation, or a substitute for current company filings.</w:t>
            </w:r>
          </w:p>
        </w:tc>
      </w:tr>
    </w:tbl>
    <w:p>
      <w:r>
        <w:br w:type="page"/>
      </w:r>
    </w:p>
    <w:p>
      <w:pPr>
        <w:pStyle w:val="Heading1"/>
        <w:spacing w:before="160" w:after="100"/>
      </w:pPr>
      <w:r>
        <w:rPr>
          <w:b/>
          <w:color w:val="17324D"/>
        </w:rPr>
        <w:t>Appendix A — Q1 FY27 Standardized Panel Values</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96"/>
            <w:shd w:fill="17324D"/>
            <w:tcMar>
              <w:top w:w="80" w:type="dxa"/>
              <w:start w:w="100" w:type="dxa"/>
              <w:bottom w:w="80" w:type="dxa"/>
              <w:end w:w="100" w:type="dxa"/>
            </w:tcMar>
          </w:tcPr>
          <w:p>
            <w:pPr>
              <w:jc w:val="center"/>
            </w:pPr>
            <w:r>
              <w:rPr>
                <w:b/>
                <w:color w:val="FFFFFF"/>
                <w:sz w:val="15"/>
              </w:rPr>
              <w:t>Company</w:t>
            </w:r>
          </w:p>
        </w:tc>
        <w:tc>
          <w:tcPr>
            <w:tcW w:type="dxa" w:w="1368"/>
            <w:shd w:fill="17324D"/>
            <w:tcMar>
              <w:top w:w="80" w:type="dxa"/>
              <w:start w:w="100" w:type="dxa"/>
              <w:bottom w:w="80" w:type="dxa"/>
              <w:end w:w="100" w:type="dxa"/>
            </w:tcMar>
          </w:tcPr>
          <w:p>
            <w:pPr>
              <w:jc w:val="center"/>
            </w:pPr>
            <w:r>
              <w:rPr>
                <w:b/>
                <w:color w:val="FFFFFF"/>
                <w:sz w:val="15"/>
              </w:rPr>
              <w:t>Revenue</w:t>
            </w:r>
          </w:p>
        </w:tc>
        <w:tc>
          <w:tcPr>
            <w:tcW w:type="dxa" w:w="1584"/>
            <w:shd w:fill="17324D"/>
            <w:tcMar>
              <w:top w:w="80" w:type="dxa"/>
              <w:start w:w="100" w:type="dxa"/>
              <w:bottom w:w="80" w:type="dxa"/>
              <w:end w:w="100" w:type="dxa"/>
            </w:tcMar>
          </w:tcPr>
          <w:p>
            <w:pPr>
              <w:jc w:val="center"/>
            </w:pPr>
            <w:r>
              <w:rPr>
                <w:b/>
                <w:color w:val="FFFFFF"/>
                <w:sz w:val="15"/>
              </w:rPr>
              <w:t>Operating profit</w:t>
            </w:r>
          </w:p>
        </w:tc>
        <w:tc>
          <w:tcPr>
            <w:tcW w:type="dxa" w:w="1368"/>
            <w:shd w:fill="17324D"/>
            <w:tcMar>
              <w:top w:w="80" w:type="dxa"/>
              <w:start w:w="100" w:type="dxa"/>
              <w:bottom w:w="80" w:type="dxa"/>
              <w:end w:w="100" w:type="dxa"/>
            </w:tcMar>
          </w:tcPr>
          <w:p>
            <w:pPr>
              <w:jc w:val="center"/>
            </w:pPr>
            <w:r>
              <w:rPr>
                <w:b/>
                <w:color w:val="FFFFFF"/>
                <w:sz w:val="15"/>
              </w:rPr>
              <w:t>Net profit</w:t>
            </w:r>
          </w:p>
        </w:tc>
        <w:tc>
          <w:tcPr>
            <w:tcW w:type="dxa" w:w="1368"/>
            <w:shd w:fill="17324D"/>
            <w:tcMar>
              <w:top w:w="80" w:type="dxa"/>
              <w:start w:w="100" w:type="dxa"/>
              <w:bottom w:w="80" w:type="dxa"/>
              <w:end w:w="100" w:type="dxa"/>
            </w:tcMar>
          </w:tcPr>
          <w:p>
            <w:pPr>
              <w:jc w:val="center"/>
            </w:pPr>
            <w:r>
              <w:rPr>
                <w:b/>
                <w:color w:val="FFFFFF"/>
                <w:sz w:val="15"/>
              </w:rPr>
              <w:t>QoQ growth</w:t>
            </w:r>
          </w:p>
        </w:tc>
        <w:tc>
          <w:tcPr>
            <w:tcW w:type="dxa" w:w="1368"/>
            <w:shd w:fill="17324D"/>
            <w:tcMar>
              <w:top w:w="80" w:type="dxa"/>
              <w:start w:w="100" w:type="dxa"/>
              <w:bottom w:w="80" w:type="dxa"/>
              <w:end w:w="100" w:type="dxa"/>
            </w:tcMar>
          </w:tcPr>
          <w:p>
            <w:pPr>
              <w:jc w:val="center"/>
            </w:pPr>
            <w:r>
              <w:rPr>
                <w:b/>
                <w:color w:val="FFFFFF"/>
                <w:sz w:val="15"/>
              </w:rPr>
              <w:t>YoY growth</w:t>
            </w:r>
          </w:p>
        </w:tc>
        <w:tc>
          <w:tcPr>
            <w:tcW w:type="dxa" w:w="1296"/>
            <w:shd w:fill="17324D"/>
            <w:tcMar>
              <w:top w:w="80" w:type="dxa"/>
              <w:start w:w="100" w:type="dxa"/>
              <w:bottom w:w="80" w:type="dxa"/>
              <w:end w:w="100" w:type="dxa"/>
            </w:tcMar>
          </w:tcPr>
          <w:p>
            <w:pPr>
              <w:jc w:val="center"/>
            </w:pPr>
            <w:r>
              <w:rPr>
                <w:b/>
                <w:color w:val="FFFFFF"/>
                <w:sz w:val="15"/>
              </w:rPr>
              <w:t>Panel OPM</w:t>
            </w:r>
          </w:p>
        </w:tc>
        <w:tc>
          <w:tcPr>
            <w:tcW w:type="dxa" w:w="1296"/>
            <w:shd w:fill="17324D"/>
            <w:tcMar>
              <w:top w:w="80" w:type="dxa"/>
              <w:start w:w="100" w:type="dxa"/>
              <w:bottom w:w="80" w:type="dxa"/>
              <w:end w:w="100" w:type="dxa"/>
            </w:tcMar>
          </w:tcPr>
          <w:p>
            <w:pPr>
              <w:jc w:val="center"/>
            </w:pPr>
            <w:r>
              <w:rPr>
                <w:b/>
                <w:color w:val="FFFFFF"/>
                <w:sz w:val="15"/>
              </w:rPr>
              <w:t>Net margin</w:t>
            </w:r>
          </w:p>
        </w:tc>
      </w:tr>
      <w:tr>
        <w:tc>
          <w:tcPr>
            <w:tcW w:type="dxa" w:w="1296"/>
            <w:tcMar>
              <w:top w:w="80" w:type="dxa"/>
              <w:start w:w="100" w:type="dxa"/>
              <w:bottom w:w="80" w:type="dxa"/>
              <w:end w:w="100" w:type="dxa"/>
            </w:tcMar>
            <w:shd w:fill="F7FAFC"/>
          </w:tcPr>
          <w:p>
            <w:pPr>
              <w:jc w:val="left"/>
            </w:pPr>
            <w:r>
              <w:rPr>
                <w:color w:val="1E293B"/>
                <w:sz w:val="15"/>
              </w:rPr>
              <w:t>TCS</w:t>
            </w:r>
          </w:p>
        </w:tc>
        <w:tc>
          <w:tcPr>
            <w:tcW w:type="dxa" w:w="1368"/>
            <w:tcMar>
              <w:top w:w="80" w:type="dxa"/>
              <w:start w:w="100" w:type="dxa"/>
              <w:bottom w:w="80" w:type="dxa"/>
              <w:end w:w="100" w:type="dxa"/>
            </w:tcMar>
            <w:shd w:fill="F7FAFC"/>
          </w:tcPr>
          <w:p>
            <w:pPr>
              <w:jc w:val="center"/>
            </w:pPr>
            <w:r>
              <w:rPr>
                <w:color w:val="1E293B"/>
                <w:sz w:val="15"/>
              </w:rPr>
              <w:t>72,275</w:t>
            </w:r>
          </w:p>
        </w:tc>
        <w:tc>
          <w:tcPr>
            <w:tcW w:type="dxa" w:w="1584"/>
            <w:tcMar>
              <w:top w:w="80" w:type="dxa"/>
              <w:start w:w="100" w:type="dxa"/>
              <w:bottom w:w="80" w:type="dxa"/>
              <w:end w:w="100" w:type="dxa"/>
            </w:tcMar>
            <w:shd w:fill="F7FAFC"/>
          </w:tcPr>
          <w:p>
            <w:pPr>
              <w:jc w:val="center"/>
            </w:pPr>
            <w:r>
              <w:rPr>
                <w:color w:val="1E293B"/>
                <w:sz w:val="15"/>
              </w:rPr>
              <w:t>18,556</w:t>
            </w:r>
          </w:p>
        </w:tc>
        <w:tc>
          <w:tcPr>
            <w:tcW w:type="dxa" w:w="1368"/>
            <w:tcMar>
              <w:top w:w="80" w:type="dxa"/>
              <w:start w:w="100" w:type="dxa"/>
              <w:bottom w:w="80" w:type="dxa"/>
              <w:end w:w="100" w:type="dxa"/>
            </w:tcMar>
            <w:shd w:fill="F7FAFC"/>
          </w:tcPr>
          <w:p>
            <w:pPr>
              <w:jc w:val="center"/>
            </w:pPr>
            <w:r>
              <w:rPr>
                <w:color w:val="1E293B"/>
                <w:sz w:val="15"/>
              </w:rPr>
              <w:t>13,420</w:t>
            </w:r>
          </w:p>
        </w:tc>
        <w:tc>
          <w:tcPr>
            <w:tcW w:type="dxa" w:w="1368"/>
            <w:tcMar>
              <w:top w:w="80" w:type="dxa"/>
              <w:start w:w="100" w:type="dxa"/>
              <w:bottom w:w="80" w:type="dxa"/>
              <w:end w:w="100" w:type="dxa"/>
            </w:tcMar>
            <w:shd w:fill="F7FAFC"/>
          </w:tcPr>
          <w:p>
            <w:pPr>
              <w:jc w:val="center"/>
            </w:pPr>
            <w:r>
              <w:rPr>
                <w:color w:val="1E293B"/>
                <w:sz w:val="15"/>
              </w:rPr>
              <w:t>2.2%</w:t>
            </w:r>
          </w:p>
        </w:tc>
        <w:tc>
          <w:tcPr>
            <w:tcW w:type="dxa" w:w="1368"/>
            <w:tcMar>
              <w:top w:w="80" w:type="dxa"/>
              <w:start w:w="100" w:type="dxa"/>
              <w:bottom w:w="80" w:type="dxa"/>
              <w:end w:w="100" w:type="dxa"/>
            </w:tcMar>
            <w:shd w:fill="F7FAFC"/>
          </w:tcPr>
          <w:p>
            <w:pPr>
              <w:jc w:val="center"/>
            </w:pPr>
            <w:r>
              <w:rPr>
                <w:color w:val="1E293B"/>
                <w:sz w:val="15"/>
              </w:rPr>
              <w:t>13.9%</w:t>
            </w:r>
          </w:p>
        </w:tc>
        <w:tc>
          <w:tcPr>
            <w:tcW w:type="dxa" w:w="1296"/>
            <w:tcMar>
              <w:top w:w="80" w:type="dxa"/>
              <w:start w:w="100" w:type="dxa"/>
              <w:bottom w:w="80" w:type="dxa"/>
              <w:end w:w="100" w:type="dxa"/>
            </w:tcMar>
            <w:shd w:fill="F7FAFC"/>
          </w:tcPr>
          <w:p>
            <w:pPr>
              <w:jc w:val="center"/>
            </w:pPr>
            <w:r>
              <w:rPr>
                <w:color w:val="1E293B"/>
                <w:sz w:val="15"/>
              </w:rPr>
              <w:t>25.7%</w:t>
            </w:r>
          </w:p>
        </w:tc>
        <w:tc>
          <w:tcPr>
            <w:tcW w:type="dxa" w:w="1296"/>
            <w:tcMar>
              <w:top w:w="80" w:type="dxa"/>
              <w:start w:w="100" w:type="dxa"/>
              <w:bottom w:w="80" w:type="dxa"/>
              <w:end w:w="100" w:type="dxa"/>
            </w:tcMar>
            <w:shd w:fill="F7FAFC"/>
          </w:tcPr>
          <w:p>
            <w:pPr>
              <w:jc w:val="center"/>
            </w:pPr>
            <w:r>
              <w:rPr>
                <w:color w:val="1E293B"/>
                <w:sz w:val="15"/>
              </w:rPr>
              <w:t>18.6%</w:t>
            </w:r>
          </w:p>
        </w:tc>
      </w:tr>
      <w:tr>
        <w:tc>
          <w:tcPr>
            <w:tcW w:type="dxa" w:w="1296"/>
            <w:tcMar>
              <w:top w:w="80" w:type="dxa"/>
              <w:start w:w="100" w:type="dxa"/>
              <w:bottom w:w="80" w:type="dxa"/>
              <w:end w:w="100" w:type="dxa"/>
            </w:tcMar>
          </w:tcPr>
          <w:p>
            <w:pPr>
              <w:jc w:val="left"/>
            </w:pPr>
            <w:r>
              <w:rPr>
                <w:color w:val="1E293B"/>
                <w:sz w:val="15"/>
              </w:rPr>
              <w:t>Infosys</w:t>
            </w:r>
          </w:p>
        </w:tc>
        <w:tc>
          <w:tcPr>
            <w:tcW w:type="dxa" w:w="1368"/>
            <w:tcMar>
              <w:top w:w="80" w:type="dxa"/>
              <w:start w:w="100" w:type="dxa"/>
              <w:bottom w:w="80" w:type="dxa"/>
              <w:end w:w="100" w:type="dxa"/>
            </w:tcMar>
          </w:tcPr>
          <w:p>
            <w:pPr>
              <w:jc w:val="center"/>
            </w:pPr>
            <w:r>
              <w:rPr>
                <w:color w:val="1E293B"/>
                <w:sz w:val="15"/>
              </w:rPr>
              <w:t>48,211</w:t>
            </w:r>
          </w:p>
        </w:tc>
        <w:tc>
          <w:tcPr>
            <w:tcW w:type="dxa" w:w="1584"/>
            <w:tcMar>
              <w:top w:w="80" w:type="dxa"/>
              <w:start w:w="100" w:type="dxa"/>
              <w:bottom w:w="80" w:type="dxa"/>
              <w:end w:w="100" w:type="dxa"/>
            </w:tcMar>
          </w:tcPr>
          <w:p>
            <w:pPr>
              <w:jc w:val="center"/>
            </w:pPr>
            <w:r>
              <w:rPr>
                <w:color w:val="1E293B"/>
                <w:sz w:val="15"/>
              </w:rPr>
              <w:t>11,409</w:t>
            </w:r>
          </w:p>
        </w:tc>
        <w:tc>
          <w:tcPr>
            <w:tcW w:type="dxa" w:w="1368"/>
            <w:tcMar>
              <w:top w:w="80" w:type="dxa"/>
              <w:start w:w="100" w:type="dxa"/>
              <w:bottom w:w="80" w:type="dxa"/>
              <w:end w:w="100" w:type="dxa"/>
            </w:tcMar>
          </w:tcPr>
          <w:p>
            <w:pPr>
              <w:jc w:val="center"/>
            </w:pPr>
            <w:r>
              <w:rPr>
                <w:color w:val="1E293B"/>
                <w:sz w:val="15"/>
              </w:rPr>
              <w:t>7,775</w:t>
            </w:r>
          </w:p>
        </w:tc>
        <w:tc>
          <w:tcPr>
            <w:tcW w:type="dxa" w:w="1368"/>
            <w:tcMar>
              <w:top w:w="80" w:type="dxa"/>
              <w:start w:w="100" w:type="dxa"/>
              <w:bottom w:w="80" w:type="dxa"/>
              <w:end w:w="100" w:type="dxa"/>
            </w:tcMar>
          </w:tcPr>
          <w:p>
            <w:pPr>
              <w:jc w:val="center"/>
            </w:pPr>
            <w:r>
              <w:rPr>
                <w:color w:val="1E293B"/>
                <w:sz w:val="15"/>
              </w:rPr>
              <w:t>3.9%</w:t>
            </w:r>
          </w:p>
        </w:tc>
        <w:tc>
          <w:tcPr>
            <w:tcW w:type="dxa" w:w="1368"/>
            <w:tcMar>
              <w:top w:w="80" w:type="dxa"/>
              <w:start w:w="100" w:type="dxa"/>
              <w:bottom w:w="80" w:type="dxa"/>
              <w:end w:w="100" w:type="dxa"/>
            </w:tcMar>
          </w:tcPr>
          <w:p>
            <w:pPr>
              <w:jc w:val="center"/>
            </w:pPr>
            <w:r>
              <w:rPr>
                <w:color w:val="1E293B"/>
                <w:sz w:val="15"/>
              </w:rPr>
              <w:t>14.0%</w:t>
            </w:r>
          </w:p>
        </w:tc>
        <w:tc>
          <w:tcPr>
            <w:tcW w:type="dxa" w:w="1296"/>
            <w:tcMar>
              <w:top w:w="80" w:type="dxa"/>
              <w:start w:w="100" w:type="dxa"/>
              <w:bottom w:w="80" w:type="dxa"/>
              <w:end w:w="100" w:type="dxa"/>
            </w:tcMar>
          </w:tcPr>
          <w:p>
            <w:pPr>
              <w:jc w:val="center"/>
            </w:pPr>
            <w:r>
              <w:rPr>
                <w:color w:val="1E293B"/>
                <w:sz w:val="15"/>
              </w:rPr>
              <w:t>23.7%</w:t>
            </w:r>
          </w:p>
        </w:tc>
        <w:tc>
          <w:tcPr>
            <w:tcW w:type="dxa" w:w="1296"/>
            <w:tcMar>
              <w:top w:w="80" w:type="dxa"/>
              <w:start w:w="100" w:type="dxa"/>
              <w:bottom w:w="80" w:type="dxa"/>
              <w:end w:w="100" w:type="dxa"/>
            </w:tcMar>
          </w:tcPr>
          <w:p>
            <w:pPr>
              <w:jc w:val="center"/>
            </w:pPr>
            <w:r>
              <w:rPr>
                <w:color w:val="1E293B"/>
                <w:sz w:val="15"/>
              </w:rPr>
              <w:t>16.1%</w:t>
            </w:r>
          </w:p>
        </w:tc>
      </w:tr>
      <w:tr>
        <w:tc>
          <w:tcPr>
            <w:tcW w:type="dxa" w:w="1296"/>
            <w:tcMar>
              <w:top w:w="80" w:type="dxa"/>
              <w:start w:w="100" w:type="dxa"/>
              <w:bottom w:w="80" w:type="dxa"/>
              <w:end w:w="100" w:type="dxa"/>
            </w:tcMar>
            <w:shd w:fill="F7FAFC"/>
          </w:tcPr>
          <w:p>
            <w:pPr>
              <w:jc w:val="left"/>
            </w:pPr>
            <w:r>
              <w:rPr>
                <w:color w:val="1E293B"/>
                <w:sz w:val="15"/>
              </w:rPr>
              <w:t>HCLTech</w:t>
            </w:r>
          </w:p>
        </w:tc>
        <w:tc>
          <w:tcPr>
            <w:tcW w:type="dxa" w:w="1368"/>
            <w:tcMar>
              <w:top w:w="80" w:type="dxa"/>
              <w:start w:w="100" w:type="dxa"/>
              <w:bottom w:w="80" w:type="dxa"/>
              <w:end w:w="100" w:type="dxa"/>
            </w:tcMar>
            <w:shd w:fill="F7FAFC"/>
          </w:tcPr>
          <w:p>
            <w:pPr>
              <w:jc w:val="center"/>
            </w:pPr>
            <w:r>
              <w:rPr>
                <w:color w:val="1E293B"/>
                <w:sz w:val="15"/>
              </w:rPr>
              <w:t>34,579</w:t>
            </w:r>
          </w:p>
        </w:tc>
        <w:tc>
          <w:tcPr>
            <w:tcW w:type="dxa" w:w="1584"/>
            <w:tcMar>
              <w:top w:w="80" w:type="dxa"/>
              <w:start w:w="100" w:type="dxa"/>
              <w:bottom w:w="80" w:type="dxa"/>
              <w:end w:w="100" w:type="dxa"/>
            </w:tcMar>
            <w:shd w:fill="F7FAFC"/>
          </w:tcPr>
          <w:p>
            <w:pPr>
              <w:jc w:val="center"/>
            </w:pPr>
            <w:r>
              <w:rPr>
                <w:color w:val="1E293B"/>
                <w:sz w:val="15"/>
              </w:rPr>
              <w:t>6,870</w:t>
            </w:r>
          </w:p>
        </w:tc>
        <w:tc>
          <w:tcPr>
            <w:tcW w:type="dxa" w:w="1368"/>
            <w:tcMar>
              <w:top w:w="80" w:type="dxa"/>
              <w:start w:w="100" w:type="dxa"/>
              <w:bottom w:w="80" w:type="dxa"/>
              <w:end w:w="100" w:type="dxa"/>
            </w:tcMar>
            <w:shd w:fill="F7FAFC"/>
          </w:tcPr>
          <w:p>
            <w:pPr>
              <w:jc w:val="center"/>
            </w:pPr>
            <w:r>
              <w:rPr>
                <w:color w:val="1E293B"/>
                <w:sz w:val="15"/>
              </w:rPr>
              <w:t>4,626</w:t>
            </w:r>
          </w:p>
        </w:tc>
        <w:tc>
          <w:tcPr>
            <w:tcW w:type="dxa" w:w="1368"/>
            <w:tcMar>
              <w:top w:w="80" w:type="dxa"/>
              <w:start w:w="100" w:type="dxa"/>
              <w:bottom w:w="80" w:type="dxa"/>
              <w:end w:w="100" w:type="dxa"/>
            </w:tcMar>
            <w:shd w:fill="F7FAFC"/>
          </w:tcPr>
          <w:p>
            <w:pPr>
              <w:jc w:val="center"/>
            </w:pPr>
            <w:r>
              <w:rPr>
                <w:color w:val="1E293B"/>
                <w:sz w:val="15"/>
              </w:rPr>
              <w:t>1.8%</w:t>
            </w:r>
          </w:p>
        </w:tc>
        <w:tc>
          <w:tcPr>
            <w:tcW w:type="dxa" w:w="1368"/>
            <w:tcMar>
              <w:top w:w="80" w:type="dxa"/>
              <w:start w:w="100" w:type="dxa"/>
              <w:bottom w:w="80" w:type="dxa"/>
              <w:end w:w="100" w:type="dxa"/>
            </w:tcMar>
            <w:shd w:fill="F7FAFC"/>
          </w:tcPr>
          <w:p>
            <w:pPr>
              <w:jc w:val="center"/>
            </w:pPr>
            <w:r>
              <w:rPr>
                <w:color w:val="1E293B"/>
                <w:sz w:val="15"/>
              </w:rPr>
              <w:t>13.9%</w:t>
            </w:r>
          </w:p>
        </w:tc>
        <w:tc>
          <w:tcPr>
            <w:tcW w:type="dxa" w:w="1296"/>
            <w:tcMar>
              <w:top w:w="80" w:type="dxa"/>
              <w:start w:w="100" w:type="dxa"/>
              <w:bottom w:w="80" w:type="dxa"/>
              <w:end w:w="100" w:type="dxa"/>
            </w:tcMar>
            <w:shd w:fill="F7FAFC"/>
          </w:tcPr>
          <w:p>
            <w:pPr>
              <w:jc w:val="center"/>
            </w:pPr>
            <w:r>
              <w:rPr>
                <w:color w:val="1E293B"/>
                <w:sz w:val="15"/>
              </w:rPr>
              <w:t>19.9%</w:t>
            </w:r>
          </w:p>
        </w:tc>
        <w:tc>
          <w:tcPr>
            <w:tcW w:type="dxa" w:w="1296"/>
            <w:tcMar>
              <w:top w:w="80" w:type="dxa"/>
              <w:start w:w="100" w:type="dxa"/>
              <w:bottom w:w="80" w:type="dxa"/>
              <w:end w:w="100" w:type="dxa"/>
            </w:tcMar>
            <w:shd w:fill="F7FAFC"/>
          </w:tcPr>
          <w:p>
            <w:pPr>
              <w:jc w:val="center"/>
            </w:pPr>
            <w:r>
              <w:rPr>
                <w:color w:val="1E293B"/>
                <w:sz w:val="15"/>
              </w:rPr>
              <w:t>13.4%</w:t>
            </w:r>
          </w:p>
        </w:tc>
      </w:tr>
      <w:tr>
        <w:tc>
          <w:tcPr>
            <w:tcW w:type="dxa" w:w="1296"/>
            <w:tcMar>
              <w:top w:w="80" w:type="dxa"/>
              <w:start w:w="100" w:type="dxa"/>
              <w:bottom w:w="80" w:type="dxa"/>
              <w:end w:w="100" w:type="dxa"/>
            </w:tcMar>
          </w:tcPr>
          <w:p>
            <w:pPr>
              <w:jc w:val="left"/>
            </w:pPr>
            <w:r>
              <w:rPr>
                <w:color w:val="1E293B"/>
                <w:sz w:val="15"/>
              </w:rPr>
              <w:t>Wipro</w:t>
            </w:r>
          </w:p>
        </w:tc>
        <w:tc>
          <w:tcPr>
            <w:tcW w:type="dxa" w:w="1368"/>
            <w:tcMar>
              <w:top w:w="80" w:type="dxa"/>
              <w:start w:w="100" w:type="dxa"/>
              <w:bottom w:w="80" w:type="dxa"/>
              <w:end w:w="100" w:type="dxa"/>
            </w:tcMar>
          </w:tcPr>
          <w:p>
            <w:pPr>
              <w:jc w:val="center"/>
            </w:pPr>
            <w:r>
              <w:rPr>
                <w:color w:val="1E293B"/>
                <w:sz w:val="15"/>
              </w:rPr>
              <w:t>24,479</w:t>
            </w:r>
          </w:p>
        </w:tc>
        <w:tc>
          <w:tcPr>
            <w:tcW w:type="dxa" w:w="1584"/>
            <w:tcMar>
              <w:top w:w="80" w:type="dxa"/>
              <w:start w:w="100" w:type="dxa"/>
              <w:bottom w:w="80" w:type="dxa"/>
              <w:end w:w="100" w:type="dxa"/>
            </w:tcMar>
          </w:tcPr>
          <w:p>
            <w:pPr>
              <w:jc w:val="center"/>
            </w:pPr>
            <w:r>
              <w:rPr>
                <w:color w:val="1E293B"/>
                <w:sz w:val="15"/>
              </w:rPr>
              <w:t>4,633</w:t>
            </w:r>
          </w:p>
        </w:tc>
        <w:tc>
          <w:tcPr>
            <w:tcW w:type="dxa" w:w="1368"/>
            <w:tcMar>
              <w:top w:w="80" w:type="dxa"/>
              <w:start w:w="100" w:type="dxa"/>
              <w:bottom w:w="80" w:type="dxa"/>
              <w:end w:w="100" w:type="dxa"/>
            </w:tcMar>
          </w:tcPr>
          <w:p>
            <w:pPr>
              <w:jc w:val="center"/>
            </w:pPr>
            <w:r>
              <w:rPr>
                <w:color w:val="1E293B"/>
                <w:sz w:val="15"/>
              </w:rPr>
              <w:t>3,356</w:t>
            </w:r>
          </w:p>
        </w:tc>
        <w:tc>
          <w:tcPr>
            <w:tcW w:type="dxa" w:w="1368"/>
            <w:tcMar>
              <w:top w:w="80" w:type="dxa"/>
              <w:start w:w="100" w:type="dxa"/>
              <w:bottom w:w="80" w:type="dxa"/>
              <w:end w:w="100" w:type="dxa"/>
            </w:tcMar>
          </w:tcPr>
          <w:p>
            <w:pPr>
              <w:jc w:val="center"/>
            </w:pPr>
            <w:r>
              <w:rPr>
                <w:color w:val="1E293B"/>
                <w:sz w:val="15"/>
              </w:rPr>
              <w:t>1.0%</w:t>
            </w:r>
          </w:p>
        </w:tc>
        <w:tc>
          <w:tcPr>
            <w:tcW w:type="dxa" w:w="1368"/>
            <w:tcMar>
              <w:top w:w="80" w:type="dxa"/>
              <w:start w:w="100" w:type="dxa"/>
              <w:bottom w:w="80" w:type="dxa"/>
              <w:end w:w="100" w:type="dxa"/>
            </w:tcMar>
          </w:tcPr>
          <w:p>
            <w:pPr>
              <w:jc w:val="center"/>
            </w:pPr>
            <w:r>
              <w:rPr>
                <w:color w:val="1E293B"/>
                <w:sz w:val="15"/>
              </w:rPr>
              <w:t>10.6%</w:t>
            </w:r>
          </w:p>
        </w:tc>
        <w:tc>
          <w:tcPr>
            <w:tcW w:type="dxa" w:w="1296"/>
            <w:tcMar>
              <w:top w:w="80" w:type="dxa"/>
              <w:start w:w="100" w:type="dxa"/>
              <w:bottom w:w="80" w:type="dxa"/>
              <w:end w:w="100" w:type="dxa"/>
            </w:tcMar>
          </w:tcPr>
          <w:p>
            <w:pPr>
              <w:jc w:val="center"/>
            </w:pPr>
            <w:r>
              <w:rPr>
                <w:color w:val="1E293B"/>
                <w:sz w:val="15"/>
              </w:rPr>
              <w:t>18.9%</w:t>
            </w:r>
          </w:p>
        </w:tc>
        <w:tc>
          <w:tcPr>
            <w:tcW w:type="dxa" w:w="1296"/>
            <w:tcMar>
              <w:top w:w="80" w:type="dxa"/>
              <w:start w:w="100" w:type="dxa"/>
              <w:bottom w:w="80" w:type="dxa"/>
              <w:end w:w="100" w:type="dxa"/>
            </w:tcMar>
          </w:tcPr>
          <w:p>
            <w:pPr>
              <w:jc w:val="center"/>
            </w:pPr>
            <w:r>
              <w:rPr>
                <w:color w:val="1E293B"/>
                <w:sz w:val="15"/>
              </w:rPr>
              <w:t>13.7%</w:t>
            </w:r>
          </w:p>
        </w:tc>
      </w:tr>
    </w:tbl>
    <w:p>
      <w:pPr>
        <w:spacing w:after="120" w:line="259" w:lineRule="auto"/>
      </w:pPr>
      <w:r>
        <w:rPr>
          <w:color w:val="1E293B"/>
          <w:sz w:val="19"/>
        </w:rPr>
        <w:t>Note: These values come from the standardized Week 2 historical panel. For current issuer-defined operating/EBIT margins, use the separate Q1 FY27 issuer snapshot in Section 4.</w:t>
      </w:r>
    </w:p>
    <w:p>
      <w:pPr>
        <w:pStyle w:val="Heading1"/>
        <w:spacing w:before="160" w:after="100"/>
      </w:pPr>
      <w:r>
        <w:rPr>
          <w:b/>
          <w:color w:val="17324D"/>
        </w:rPr>
        <w:t>Appendix B — Figure Inventory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76"/>
            <w:shd w:fill="17324D"/>
            <w:tcMar>
              <w:top w:w="80" w:type="dxa"/>
              <w:start w:w="100" w:type="dxa"/>
              <w:bottom w:w="80" w:type="dxa"/>
              <w:end w:w="100" w:type="dxa"/>
            </w:tcMar>
          </w:tcPr>
          <w:p>
            <w:pPr>
              <w:jc w:val="center"/>
            </w:pPr>
            <w:r>
              <w:rPr>
                <w:b/>
                <w:color w:val="FFFFFF"/>
                <w:sz w:val="16"/>
              </w:rPr>
              <w:t>#</w:t>
            </w:r>
          </w:p>
        </w:tc>
        <w:tc>
          <w:tcPr>
            <w:tcW w:type="dxa" w:w="2952"/>
            <w:shd w:fill="17324D"/>
            <w:tcMar>
              <w:top w:w="80" w:type="dxa"/>
              <w:start w:w="100" w:type="dxa"/>
              <w:bottom w:w="80" w:type="dxa"/>
              <w:end w:w="100" w:type="dxa"/>
            </w:tcMar>
          </w:tcPr>
          <w:p>
            <w:pPr>
              <w:jc w:val="center"/>
            </w:pPr>
            <w:r>
              <w:rPr>
                <w:b/>
                <w:color w:val="FFFFFF"/>
                <w:sz w:val="16"/>
              </w:rPr>
              <w:t>Figure</w:t>
            </w:r>
          </w:p>
        </w:tc>
        <w:tc>
          <w:tcPr>
            <w:tcW w:type="dxa" w:w="4752"/>
            <w:shd w:fill="17324D"/>
            <w:tcMar>
              <w:top w:w="80" w:type="dxa"/>
              <w:start w:w="100" w:type="dxa"/>
              <w:bottom w:w="80" w:type="dxa"/>
              <w:end w:w="100" w:type="dxa"/>
            </w:tcMar>
          </w:tcPr>
          <w:p>
            <w:pPr>
              <w:jc w:val="center"/>
            </w:pPr>
            <w:r>
              <w:rPr>
                <w:b/>
                <w:color w:val="FFFFFF"/>
                <w:sz w:val="16"/>
              </w:rPr>
              <w:t>Analytical question</w:t>
            </w:r>
          </w:p>
        </w:tc>
        <w:tc>
          <w:tcPr>
            <w:tcW w:type="dxa" w:w="2736"/>
            <w:shd w:fill="17324D"/>
            <w:tcMar>
              <w:top w:w="80" w:type="dxa"/>
              <w:start w:w="100" w:type="dxa"/>
              <w:bottom w:w="80" w:type="dxa"/>
              <w:end w:w="100" w:type="dxa"/>
            </w:tcMar>
          </w:tcPr>
          <w:p>
            <w:pPr>
              <w:jc w:val="center"/>
            </w:pPr>
            <w:r>
              <w:rPr>
                <w:b/>
                <w:color w:val="FFFFFF"/>
                <w:sz w:val="16"/>
              </w:rPr>
              <w:t>File</w:t>
            </w:r>
          </w:p>
        </w:tc>
      </w:tr>
      <w:tr>
        <w:tc>
          <w:tcPr>
            <w:tcW w:type="dxa" w:w="576"/>
            <w:tcMar>
              <w:top w:w="80" w:type="dxa"/>
              <w:start w:w="100" w:type="dxa"/>
              <w:bottom w:w="80" w:type="dxa"/>
              <w:end w:w="100" w:type="dxa"/>
            </w:tcMar>
            <w:shd w:fill="F7FAFC"/>
          </w:tcPr>
          <w:p>
            <w:pPr>
              <w:jc w:val="left"/>
            </w:pPr>
            <w:r>
              <w:rPr>
                <w:color w:val="1E293B"/>
                <w:sz w:val="16"/>
              </w:rPr>
              <w:t>1</w:t>
            </w:r>
          </w:p>
        </w:tc>
        <w:tc>
          <w:tcPr>
            <w:tcW w:type="dxa" w:w="2952"/>
            <w:tcMar>
              <w:top w:w="80" w:type="dxa"/>
              <w:start w:w="100" w:type="dxa"/>
              <w:bottom w:w="80" w:type="dxa"/>
              <w:end w:w="100" w:type="dxa"/>
            </w:tcMar>
            <w:shd w:fill="F7FAFC"/>
          </w:tcPr>
          <w:p>
            <w:pPr>
              <w:jc w:val="center"/>
            </w:pPr>
            <w:r>
              <w:rPr>
                <w:color w:val="1E293B"/>
                <w:sz w:val="16"/>
              </w:rPr>
              <w:t>Quarterly Revenue Trend</w:t>
            </w:r>
          </w:p>
        </w:tc>
        <w:tc>
          <w:tcPr>
            <w:tcW w:type="dxa" w:w="4752"/>
            <w:tcMar>
              <w:top w:w="80" w:type="dxa"/>
              <w:start w:w="100" w:type="dxa"/>
              <w:bottom w:w="80" w:type="dxa"/>
              <w:end w:w="100" w:type="dxa"/>
            </w:tcMar>
            <w:shd w:fill="F7FAFC"/>
          </w:tcPr>
          <w:p>
            <w:pPr>
              <w:jc w:val="center"/>
            </w:pPr>
            <w:r>
              <w:rPr>
                <w:color w:val="1E293B"/>
                <w:sz w:val="16"/>
              </w:rPr>
              <w:t>Absolute scale and direction</w:t>
            </w:r>
          </w:p>
        </w:tc>
        <w:tc>
          <w:tcPr>
            <w:tcW w:type="dxa" w:w="2736"/>
            <w:tcMar>
              <w:top w:w="80" w:type="dxa"/>
              <w:start w:w="100" w:type="dxa"/>
              <w:bottom w:w="80" w:type="dxa"/>
              <w:end w:w="100" w:type="dxa"/>
            </w:tcMar>
            <w:shd w:fill="F7FAFC"/>
          </w:tcPr>
          <w:p>
            <w:pPr>
              <w:jc w:val="center"/>
            </w:pPr>
            <w:r>
              <w:rPr>
                <w:color w:val="1E293B"/>
                <w:sz w:val="16"/>
              </w:rPr>
              <w:t>01_revenue_trend.png</w:t>
            </w:r>
          </w:p>
        </w:tc>
      </w:tr>
      <w:tr>
        <w:tc>
          <w:tcPr>
            <w:tcW w:type="dxa" w:w="576"/>
            <w:tcMar>
              <w:top w:w="80" w:type="dxa"/>
              <w:start w:w="100" w:type="dxa"/>
              <w:bottom w:w="80" w:type="dxa"/>
              <w:end w:w="100" w:type="dxa"/>
            </w:tcMar>
          </w:tcPr>
          <w:p>
            <w:pPr>
              <w:jc w:val="left"/>
            </w:pPr>
            <w:r>
              <w:rPr>
                <w:color w:val="1E293B"/>
                <w:sz w:val="16"/>
              </w:rPr>
              <w:t>2</w:t>
            </w:r>
          </w:p>
        </w:tc>
        <w:tc>
          <w:tcPr>
            <w:tcW w:type="dxa" w:w="2952"/>
            <w:tcMar>
              <w:top w:w="80" w:type="dxa"/>
              <w:start w:w="100" w:type="dxa"/>
              <w:bottom w:w="80" w:type="dxa"/>
              <w:end w:w="100" w:type="dxa"/>
            </w:tcMar>
          </w:tcPr>
          <w:p>
            <w:pPr>
              <w:jc w:val="center"/>
            </w:pPr>
            <w:r>
              <w:rPr>
                <w:color w:val="1E293B"/>
                <w:sz w:val="16"/>
              </w:rPr>
              <w:t>Revenue Index — Q1 FY24 = 100</w:t>
            </w:r>
          </w:p>
        </w:tc>
        <w:tc>
          <w:tcPr>
            <w:tcW w:type="dxa" w:w="4752"/>
            <w:tcMar>
              <w:top w:w="80" w:type="dxa"/>
              <w:start w:w="100" w:type="dxa"/>
              <w:bottom w:w="80" w:type="dxa"/>
              <w:end w:w="100" w:type="dxa"/>
            </w:tcMar>
          </w:tcPr>
          <w:p>
            <w:pPr>
              <w:jc w:val="center"/>
            </w:pPr>
            <w:r>
              <w:rPr>
                <w:color w:val="1E293B"/>
                <w:sz w:val="16"/>
              </w:rPr>
              <w:t>Relative cumulative expansion</w:t>
            </w:r>
          </w:p>
        </w:tc>
        <w:tc>
          <w:tcPr>
            <w:tcW w:type="dxa" w:w="2736"/>
            <w:tcMar>
              <w:top w:w="80" w:type="dxa"/>
              <w:start w:w="100" w:type="dxa"/>
              <w:bottom w:w="80" w:type="dxa"/>
              <w:end w:w="100" w:type="dxa"/>
            </w:tcMar>
          </w:tcPr>
          <w:p>
            <w:pPr>
              <w:jc w:val="center"/>
            </w:pPr>
            <w:r>
              <w:rPr>
                <w:color w:val="1E293B"/>
                <w:sz w:val="16"/>
              </w:rPr>
              <w:t>02_revenue_index.png</w:t>
            </w:r>
          </w:p>
        </w:tc>
      </w:tr>
      <w:tr>
        <w:tc>
          <w:tcPr>
            <w:tcW w:type="dxa" w:w="576"/>
            <w:tcMar>
              <w:top w:w="80" w:type="dxa"/>
              <w:start w:w="100" w:type="dxa"/>
              <w:bottom w:w="80" w:type="dxa"/>
              <w:end w:w="100" w:type="dxa"/>
            </w:tcMar>
            <w:shd w:fill="F7FAFC"/>
          </w:tcPr>
          <w:p>
            <w:pPr>
              <w:jc w:val="left"/>
            </w:pPr>
            <w:r>
              <w:rPr>
                <w:color w:val="1E293B"/>
                <w:sz w:val="16"/>
              </w:rPr>
              <w:t>3</w:t>
            </w:r>
          </w:p>
        </w:tc>
        <w:tc>
          <w:tcPr>
            <w:tcW w:type="dxa" w:w="2952"/>
            <w:tcMar>
              <w:top w:w="80" w:type="dxa"/>
              <w:start w:w="100" w:type="dxa"/>
              <w:bottom w:w="80" w:type="dxa"/>
              <w:end w:w="100" w:type="dxa"/>
            </w:tcMar>
            <w:shd w:fill="F7FAFC"/>
          </w:tcPr>
          <w:p>
            <w:pPr>
              <w:jc w:val="center"/>
            </w:pPr>
            <w:r>
              <w:rPr>
                <w:color w:val="1E293B"/>
                <w:sz w:val="16"/>
              </w:rPr>
              <w:t>YoY Revenue Growth</w:t>
            </w:r>
          </w:p>
        </w:tc>
        <w:tc>
          <w:tcPr>
            <w:tcW w:type="dxa" w:w="4752"/>
            <w:tcMar>
              <w:top w:w="80" w:type="dxa"/>
              <w:start w:w="100" w:type="dxa"/>
              <w:bottom w:w="80" w:type="dxa"/>
              <w:end w:w="100" w:type="dxa"/>
            </w:tcMar>
            <w:shd w:fill="F7FAFC"/>
          </w:tcPr>
          <w:p>
            <w:pPr>
              <w:jc w:val="center"/>
            </w:pPr>
            <w:r>
              <w:rPr>
                <w:color w:val="1E293B"/>
                <w:sz w:val="16"/>
              </w:rPr>
              <w:t>Reported growth trajectory</w:t>
            </w:r>
          </w:p>
        </w:tc>
        <w:tc>
          <w:tcPr>
            <w:tcW w:type="dxa" w:w="2736"/>
            <w:tcMar>
              <w:top w:w="80" w:type="dxa"/>
              <w:start w:w="100" w:type="dxa"/>
              <w:bottom w:w="80" w:type="dxa"/>
              <w:end w:w="100" w:type="dxa"/>
            </w:tcMar>
            <w:shd w:fill="F7FAFC"/>
          </w:tcPr>
          <w:p>
            <w:pPr>
              <w:jc w:val="center"/>
            </w:pPr>
            <w:r>
              <w:rPr>
                <w:color w:val="1E293B"/>
                <w:sz w:val="16"/>
              </w:rPr>
              <w:t>03_yoy_growth.png</w:t>
            </w:r>
          </w:p>
        </w:tc>
      </w:tr>
      <w:tr>
        <w:tc>
          <w:tcPr>
            <w:tcW w:type="dxa" w:w="576"/>
            <w:tcMar>
              <w:top w:w="80" w:type="dxa"/>
              <w:start w:w="100" w:type="dxa"/>
              <w:bottom w:w="80" w:type="dxa"/>
              <w:end w:w="100" w:type="dxa"/>
            </w:tcMar>
          </w:tcPr>
          <w:p>
            <w:pPr>
              <w:jc w:val="left"/>
            </w:pPr>
            <w:r>
              <w:rPr>
                <w:color w:val="1E293B"/>
                <w:sz w:val="16"/>
              </w:rPr>
              <w:t>4</w:t>
            </w:r>
          </w:p>
        </w:tc>
        <w:tc>
          <w:tcPr>
            <w:tcW w:type="dxa" w:w="2952"/>
            <w:tcMar>
              <w:top w:w="80" w:type="dxa"/>
              <w:start w:w="100" w:type="dxa"/>
              <w:bottom w:w="80" w:type="dxa"/>
              <w:end w:w="100" w:type="dxa"/>
            </w:tcMar>
          </w:tcPr>
          <w:p>
            <w:pPr>
              <w:jc w:val="center"/>
            </w:pPr>
            <w:r>
              <w:rPr>
                <w:color w:val="1E293B"/>
                <w:sz w:val="16"/>
              </w:rPr>
              <w:t>Operating Margin Trend</w:t>
            </w:r>
          </w:p>
        </w:tc>
        <w:tc>
          <w:tcPr>
            <w:tcW w:type="dxa" w:w="4752"/>
            <w:tcMar>
              <w:top w:w="80" w:type="dxa"/>
              <w:start w:w="100" w:type="dxa"/>
              <w:bottom w:w="80" w:type="dxa"/>
              <w:end w:w="100" w:type="dxa"/>
            </w:tcMar>
          </w:tcPr>
          <w:p>
            <w:pPr>
              <w:jc w:val="center"/>
            </w:pPr>
            <w:r>
              <w:rPr>
                <w:color w:val="1E293B"/>
                <w:sz w:val="16"/>
              </w:rPr>
              <w:t>Standardized-panel profitability trend</w:t>
            </w:r>
          </w:p>
        </w:tc>
        <w:tc>
          <w:tcPr>
            <w:tcW w:type="dxa" w:w="2736"/>
            <w:tcMar>
              <w:top w:w="80" w:type="dxa"/>
              <w:start w:w="100" w:type="dxa"/>
              <w:bottom w:w="80" w:type="dxa"/>
              <w:end w:w="100" w:type="dxa"/>
            </w:tcMar>
          </w:tcPr>
          <w:p>
            <w:pPr>
              <w:jc w:val="center"/>
            </w:pPr>
            <w:r>
              <w:rPr>
                <w:color w:val="1E293B"/>
                <w:sz w:val="16"/>
              </w:rPr>
              <w:t>04_operating_margin.png</w:t>
            </w:r>
          </w:p>
        </w:tc>
      </w:tr>
      <w:tr>
        <w:tc>
          <w:tcPr>
            <w:tcW w:type="dxa" w:w="576"/>
            <w:tcMar>
              <w:top w:w="80" w:type="dxa"/>
              <w:start w:w="100" w:type="dxa"/>
              <w:bottom w:w="80" w:type="dxa"/>
              <w:end w:w="100" w:type="dxa"/>
            </w:tcMar>
            <w:shd w:fill="F7FAFC"/>
          </w:tcPr>
          <w:p>
            <w:pPr>
              <w:jc w:val="left"/>
            </w:pPr>
            <w:r>
              <w:rPr>
                <w:color w:val="1E293B"/>
                <w:sz w:val="16"/>
              </w:rPr>
              <w:t>5</w:t>
            </w:r>
          </w:p>
        </w:tc>
        <w:tc>
          <w:tcPr>
            <w:tcW w:type="dxa" w:w="2952"/>
            <w:tcMar>
              <w:top w:w="80" w:type="dxa"/>
              <w:start w:w="100" w:type="dxa"/>
              <w:bottom w:w="80" w:type="dxa"/>
              <w:end w:w="100" w:type="dxa"/>
            </w:tcMar>
            <w:shd w:fill="F7FAFC"/>
          </w:tcPr>
          <w:p>
            <w:pPr>
              <w:jc w:val="center"/>
            </w:pPr>
            <w:r>
              <w:rPr>
                <w:color w:val="1E293B"/>
                <w:sz w:val="16"/>
              </w:rPr>
              <w:t>Net Margin Trend</w:t>
            </w:r>
          </w:p>
        </w:tc>
        <w:tc>
          <w:tcPr>
            <w:tcW w:type="dxa" w:w="4752"/>
            <w:tcMar>
              <w:top w:w="80" w:type="dxa"/>
              <w:start w:w="100" w:type="dxa"/>
              <w:bottom w:w="80" w:type="dxa"/>
              <w:end w:w="100" w:type="dxa"/>
            </w:tcMar>
            <w:shd w:fill="F7FAFC"/>
          </w:tcPr>
          <w:p>
            <w:pPr>
              <w:jc w:val="center"/>
            </w:pPr>
            <w:r>
              <w:rPr>
                <w:color w:val="1E293B"/>
                <w:sz w:val="16"/>
              </w:rPr>
              <w:t>Standardized-panel bottom-line trend</w:t>
            </w:r>
          </w:p>
        </w:tc>
        <w:tc>
          <w:tcPr>
            <w:tcW w:type="dxa" w:w="2736"/>
            <w:tcMar>
              <w:top w:w="80" w:type="dxa"/>
              <w:start w:w="100" w:type="dxa"/>
              <w:bottom w:w="80" w:type="dxa"/>
              <w:end w:w="100" w:type="dxa"/>
            </w:tcMar>
            <w:shd w:fill="F7FAFC"/>
          </w:tcPr>
          <w:p>
            <w:pPr>
              <w:jc w:val="center"/>
            </w:pPr>
            <w:r>
              <w:rPr>
                <w:color w:val="1E293B"/>
                <w:sz w:val="16"/>
              </w:rPr>
              <w:t>05_net_margin.png</w:t>
            </w:r>
          </w:p>
        </w:tc>
      </w:tr>
      <w:tr>
        <w:tc>
          <w:tcPr>
            <w:tcW w:type="dxa" w:w="576"/>
            <w:tcMar>
              <w:top w:w="80" w:type="dxa"/>
              <w:start w:w="100" w:type="dxa"/>
              <w:bottom w:w="80" w:type="dxa"/>
              <w:end w:w="100" w:type="dxa"/>
            </w:tcMar>
          </w:tcPr>
          <w:p>
            <w:pPr>
              <w:jc w:val="left"/>
            </w:pPr>
            <w:r>
              <w:rPr>
                <w:color w:val="1E293B"/>
                <w:sz w:val="16"/>
              </w:rPr>
              <w:t>6</w:t>
            </w:r>
          </w:p>
        </w:tc>
        <w:tc>
          <w:tcPr>
            <w:tcW w:type="dxa" w:w="2952"/>
            <w:tcMar>
              <w:top w:w="80" w:type="dxa"/>
              <w:start w:w="100" w:type="dxa"/>
              <w:bottom w:w="80" w:type="dxa"/>
              <w:end w:w="100" w:type="dxa"/>
            </w:tcMar>
          </w:tcPr>
          <w:p>
            <w:pPr>
              <w:jc w:val="center"/>
            </w:pPr>
            <w:r>
              <w:rPr>
                <w:color w:val="1E293B"/>
                <w:sz w:val="16"/>
              </w:rPr>
              <w:t>Q1 FY27 Revenue Snapshot</w:t>
            </w:r>
          </w:p>
        </w:tc>
        <w:tc>
          <w:tcPr>
            <w:tcW w:type="dxa" w:w="4752"/>
            <w:tcMar>
              <w:top w:w="80" w:type="dxa"/>
              <w:start w:w="100" w:type="dxa"/>
              <w:bottom w:w="80" w:type="dxa"/>
              <w:end w:w="100" w:type="dxa"/>
            </w:tcMar>
          </w:tcPr>
          <w:p>
            <w:pPr>
              <w:jc w:val="center"/>
            </w:pPr>
            <w:r>
              <w:rPr>
                <w:color w:val="1E293B"/>
                <w:sz w:val="16"/>
              </w:rPr>
              <w:t>Current issuer-validated scale</w:t>
            </w:r>
          </w:p>
        </w:tc>
        <w:tc>
          <w:tcPr>
            <w:tcW w:type="dxa" w:w="2736"/>
            <w:tcMar>
              <w:top w:w="80" w:type="dxa"/>
              <w:start w:w="100" w:type="dxa"/>
              <w:bottom w:w="80" w:type="dxa"/>
              <w:end w:w="100" w:type="dxa"/>
            </w:tcMar>
          </w:tcPr>
          <w:p>
            <w:pPr>
              <w:jc w:val="center"/>
            </w:pPr>
            <w:r>
              <w:rPr>
                <w:color w:val="1E293B"/>
                <w:sz w:val="16"/>
              </w:rPr>
              <w:t>06_q1fy27_revenue.png</w:t>
            </w:r>
          </w:p>
        </w:tc>
      </w:tr>
      <w:tr>
        <w:tc>
          <w:tcPr>
            <w:tcW w:type="dxa" w:w="576"/>
            <w:tcMar>
              <w:top w:w="80" w:type="dxa"/>
              <w:start w:w="100" w:type="dxa"/>
              <w:bottom w:w="80" w:type="dxa"/>
              <w:end w:w="100" w:type="dxa"/>
            </w:tcMar>
            <w:shd w:fill="F7FAFC"/>
          </w:tcPr>
          <w:p>
            <w:pPr>
              <w:jc w:val="left"/>
            </w:pPr>
            <w:r>
              <w:rPr>
                <w:color w:val="1E293B"/>
                <w:sz w:val="16"/>
              </w:rPr>
              <w:t>7</w:t>
            </w:r>
          </w:p>
        </w:tc>
        <w:tc>
          <w:tcPr>
            <w:tcW w:type="dxa" w:w="2952"/>
            <w:tcMar>
              <w:top w:w="80" w:type="dxa"/>
              <w:start w:w="100" w:type="dxa"/>
              <w:bottom w:w="80" w:type="dxa"/>
              <w:end w:w="100" w:type="dxa"/>
            </w:tcMar>
            <w:shd w:fill="F7FAFC"/>
          </w:tcPr>
          <w:p>
            <w:pPr>
              <w:jc w:val="center"/>
            </w:pPr>
            <w:r>
              <w:rPr>
                <w:color w:val="1E293B"/>
                <w:sz w:val="16"/>
              </w:rPr>
              <w:t>Q1 FY27 Margin Snapshot</w:t>
            </w:r>
          </w:p>
        </w:tc>
        <w:tc>
          <w:tcPr>
            <w:tcW w:type="dxa" w:w="4752"/>
            <w:tcMar>
              <w:top w:w="80" w:type="dxa"/>
              <w:start w:w="100" w:type="dxa"/>
              <w:bottom w:w="80" w:type="dxa"/>
              <w:end w:w="100" w:type="dxa"/>
            </w:tcMar>
            <w:shd w:fill="F7FAFC"/>
          </w:tcPr>
          <w:p>
            <w:pPr>
              <w:jc w:val="center"/>
            </w:pPr>
            <w:r>
              <w:rPr>
                <w:color w:val="1E293B"/>
                <w:sz w:val="16"/>
              </w:rPr>
              <w:t>Current issuer-defined margin view</w:t>
            </w:r>
          </w:p>
        </w:tc>
        <w:tc>
          <w:tcPr>
            <w:tcW w:type="dxa" w:w="2736"/>
            <w:tcMar>
              <w:top w:w="80" w:type="dxa"/>
              <w:start w:w="100" w:type="dxa"/>
              <w:bottom w:w="80" w:type="dxa"/>
              <w:end w:w="100" w:type="dxa"/>
            </w:tcMar>
            <w:shd w:fill="F7FAFC"/>
          </w:tcPr>
          <w:p>
            <w:pPr>
              <w:jc w:val="center"/>
            </w:pPr>
            <w:r>
              <w:rPr>
                <w:color w:val="1E293B"/>
                <w:sz w:val="16"/>
              </w:rPr>
              <w:t>07_q1fy27_margin.png</w:t>
            </w:r>
          </w:p>
        </w:tc>
      </w:tr>
      <w:tr>
        <w:tc>
          <w:tcPr>
            <w:tcW w:type="dxa" w:w="576"/>
            <w:tcMar>
              <w:top w:w="80" w:type="dxa"/>
              <w:start w:w="100" w:type="dxa"/>
              <w:bottom w:w="80" w:type="dxa"/>
              <w:end w:w="100" w:type="dxa"/>
            </w:tcMar>
          </w:tcPr>
          <w:p>
            <w:pPr>
              <w:jc w:val="left"/>
            </w:pPr>
            <w:r>
              <w:rPr>
                <w:color w:val="1E293B"/>
                <w:sz w:val="16"/>
              </w:rPr>
              <w:t>8</w:t>
            </w:r>
          </w:p>
        </w:tc>
        <w:tc>
          <w:tcPr>
            <w:tcW w:type="dxa" w:w="2952"/>
            <w:tcMar>
              <w:top w:w="80" w:type="dxa"/>
              <w:start w:w="100" w:type="dxa"/>
              <w:bottom w:w="80" w:type="dxa"/>
              <w:end w:w="100" w:type="dxa"/>
            </w:tcMar>
          </w:tcPr>
          <w:p>
            <w:pPr>
              <w:jc w:val="center"/>
            </w:pPr>
            <w:r>
              <w:rPr>
                <w:color w:val="1E293B"/>
                <w:sz w:val="16"/>
              </w:rPr>
              <w:t>Quarterly Revenue Growth Volatility</w:t>
            </w:r>
          </w:p>
        </w:tc>
        <w:tc>
          <w:tcPr>
            <w:tcW w:type="dxa" w:w="4752"/>
            <w:tcMar>
              <w:top w:w="80" w:type="dxa"/>
              <w:start w:w="100" w:type="dxa"/>
              <w:bottom w:w="80" w:type="dxa"/>
              <w:end w:w="100" w:type="dxa"/>
            </w:tcMar>
          </w:tcPr>
          <w:p>
            <w:pPr>
              <w:jc w:val="center"/>
            </w:pPr>
            <w:r>
              <w:rPr>
                <w:color w:val="1E293B"/>
                <w:sz w:val="16"/>
              </w:rPr>
              <w:t>Sequential growth stability</w:t>
            </w:r>
          </w:p>
        </w:tc>
        <w:tc>
          <w:tcPr>
            <w:tcW w:type="dxa" w:w="2736"/>
            <w:tcMar>
              <w:top w:w="80" w:type="dxa"/>
              <w:start w:w="100" w:type="dxa"/>
              <w:bottom w:w="80" w:type="dxa"/>
              <w:end w:w="100" w:type="dxa"/>
            </w:tcMar>
          </w:tcPr>
          <w:p>
            <w:pPr>
              <w:jc w:val="center"/>
            </w:pPr>
            <w:r>
              <w:rPr>
                <w:color w:val="1E293B"/>
                <w:sz w:val="16"/>
              </w:rPr>
              <w:t>08_growth_volatility.png</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TCS Peer Set — Financial Data Visualization &amp; Reporting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280"/>
        <w:sz w:val="16"/>
      </w:rPr>
      <w:t>YUVAINTERN  |  JUNIOR FINANCIAL DATA ANALYST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