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007F86"/>
          <w:sz w:val="22"/>
        </w:rPr>
        <w:t>FINANCIAL DATA ANALYSIS</w:t>
      </w:r>
    </w:p>
    <w:p>
      <w:pPr>
        <w:spacing w:after="160"/>
      </w:pPr>
      <w:r>
        <w:rPr>
          <w:b/>
          <w:color w:val="17324D"/>
          <w:sz w:val="60"/>
        </w:rPr>
        <w:t>Financial Forecasting &amp;</w:t>
        <w:br/>
        <w:t>Predictive Modeling</w:t>
      </w:r>
    </w:p>
    <w:p>
      <w:pPr>
        <w:spacing w:after="360"/>
      </w:pPr>
      <w:r>
        <w:rPr>
          <w:color w:val="1E293B"/>
          <w:sz w:val="30"/>
        </w:rPr>
        <w:t>TCS vs Infosys, HCLTech and Wipro</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20"/>
            <w:shd w:fill="17324D"/>
            <w:tcMar>
              <w:top w:w="100" w:type="dxa"/>
              <w:start w:w="110" w:type="dxa"/>
              <w:bottom w:w="100" w:type="dxa"/>
              <w:end w:w="110" w:type="dxa"/>
            </w:tcMar>
          </w:tcPr>
          <w:p>
            <w:pPr>
              <w:jc w:val="center"/>
            </w:pPr>
            <w:r>
              <w:rPr>
                <w:b/>
                <w:color w:val="FFFFFF"/>
                <w:sz w:val="15"/>
              </w:rPr>
              <w:t>OBSERVED HISTORY</w:t>
            </w:r>
          </w:p>
          <w:p>
            <w:pPr>
              <w:jc w:val="center"/>
            </w:pPr>
            <w:r>
              <w:rPr>
                <w:b/>
                <w:color w:val="FFFFFF"/>
                <w:sz w:val="30"/>
              </w:rPr>
              <w:t>13 quarters</w:t>
            </w:r>
          </w:p>
          <w:p>
            <w:pPr>
              <w:jc w:val="center"/>
            </w:pPr>
            <w:r>
              <w:rPr>
                <w:color w:val="E1EBF0"/>
                <w:sz w:val="15"/>
              </w:rPr>
              <w:t>Q1 FY24–Q1 FY27</w:t>
            </w:r>
          </w:p>
        </w:tc>
        <w:tc>
          <w:tcPr>
            <w:tcW w:type="dxa" w:w="2520"/>
            <w:shd w:fill="17324D"/>
            <w:tcMar>
              <w:top w:w="100" w:type="dxa"/>
              <w:start w:w="110" w:type="dxa"/>
              <w:bottom w:w="100" w:type="dxa"/>
              <w:end w:w="110" w:type="dxa"/>
            </w:tcMar>
          </w:tcPr>
          <w:p>
            <w:pPr>
              <w:jc w:val="center"/>
            </w:pPr>
            <w:r>
              <w:rPr>
                <w:b/>
                <w:color w:val="FFFFFF"/>
                <w:sz w:val="15"/>
              </w:rPr>
              <w:t>FORECAST HORIZON</w:t>
            </w:r>
          </w:p>
          <w:p>
            <w:pPr>
              <w:jc w:val="center"/>
            </w:pPr>
            <w:r>
              <w:rPr>
                <w:b/>
                <w:color w:val="FFFFFF"/>
                <w:sz w:val="30"/>
              </w:rPr>
              <w:t>4 quarters</w:t>
            </w:r>
          </w:p>
          <w:p>
            <w:pPr>
              <w:jc w:val="center"/>
            </w:pPr>
            <w:r>
              <w:rPr>
                <w:color w:val="E1EBF0"/>
                <w:sz w:val="15"/>
              </w:rPr>
              <w:t>Q2 FY27–Q1 FY28</w:t>
            </w:r>
          </w:p>
        </w:tc>
        <w:tc>
          <w:tcPr>
            <w:tcW w:type="dxa" w:w="2520"/>
            <w:shd w:fill="17324D"/>
            <w:tcMar>
              <w:top w:w="100" w:type="dxa"/>
              <w:start w:w="110" w:type="dxa"/>
              <w:bottom w:w="100" w:type="dxa"/>
              <w:end w:w="110" w:type="dxa"/>
            </w:tcMar>
          </w:tcPr>
          <w:p>
            <w:pPr>
              <w:jc w:val="center"/>
            </w:pPr>
            <w:r>
              <w:rPr>
                <w:b/>
                <w:color w:val="FFFFFF"/>
                <w:sz w:val="15"/>
              </w:rPr>
              <w:t>TARGETS</w:t>
            </w:r>
          </w:p>
          <w:p>
            <w:pPr>
              <w:jc w:val="center"/>
            </w:pPr>
            <w:r>
              <w:rPr>
                <w:b/>
                <w:color w:val="FFFFFF"/>
                <w:sz w:val="30"/>
              </w:rPr>
              <w:t>2</w:t>
            </w:r>
          </w:p>
          <w:p>
            <w:pPr>
              <w:jc w:val="center"/>
            </w:pPr>
            <w:r>
              <w:rPr>
                <w:color w:val="E1EBF0"/>
                <w:sz w:val="15"/>
              </w:rPr>
              <w:t>Revenue + operating margin</w:t>
            </w:r>
          </w:p>
        </w:tc>
        <w:tc>
          <w:tcPr>
            <w:tcW w:type="dxa" w:w="2520"/>
            <w:shd w:fill="17324D"/>
            <w:tcMar>
              <w:top w:w="100" w:type="dxa"/>
              <w:start w:w="110" w:type="dxa"/>
              <w:bottom w:w="100" w:type="dxa"/>
              <w:end w:w="110" w:type="dxa"/>
            </w:tcMar>
          </w:tcPr>
          <w:p>
            <w:pPr>
              <w:jc w:val="center"/>
            </w:pPr>
            <w:r>
              <w:rPr>
                <w:b/>
                <w:color w:val="FFFFFF"/>
                <w:sz w:val="15"/>
              </w:rPr>
              <w:t>CANDIDATE MODELS</w:t>
            </w:r>
          </w:p>
          <w:p>
            <w:pPr>
              <w:jc w:val="center"/>
            </w:pPr>
            <w:r>
              <w:rPr>
                <w:b/>
                <w:color w:val="FFFFFF"/>
                <w:sz w:val="30"/>
              </w:rPr>
              <w:t>5</w:t>
            </w:r>
          </w:p>
          <w:p>
            <w:pPr>
              <w:jc w:val="center"/>
            </w:pPr>
            <w:r>
              <w:rPr>
                <w:color w:val="E1EBF0"/>
                <w:sz w:val="15"/>
              </w:rPr>
              <w:t>Baseline to low-parameter TS</w:t>
            </w:r>
          </w:p>
        </w:tc>
      </w:tr>
    </w:tbl>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Engagement context</w:t>
            </w:r>
          </w:p>
          <w:p>
            <w:r>
              <w:rPr>
                <w:color w:val="1E293B"/>
                <w:sz w:val="18"/>
              </w:rPr>
              <w:t>A simulated equity-research workflow extending the Week 2/3 data pipeline. The purpose is to test transparent, reproducible forecasting methods using only information available through Q1 FY27. It is not investment advice.</w:t>
            </w:r>
          </w:p>
        </w:tc>
      </w:tr>
    </w:tbl>
    <w:p>
      <w:pPr>
        <w:spacing w:before="400"/>
      </w:pPr>
      <w:r>
        <w:rPr>
          <w:b/>
          <w:sz w:val="20"/>
        </w:rPr>
        <w:t>Prepared for: Yuvaintern — Junior Financial Data Analyst Internship</w:t>
      </w:r>
    </w:p>
    <w:p>
      <w:r>
        <w:rPr>
          <w:color w:val="6B7280"/>
          <w:sz w:val="18"/>
        </w:rPr>
        <w:t>Data cut-off: Q1 FY27 results (quarter ended 30 June 2026). Historical panel: Q1 FY24–Q1 FY27.</w:t>
      </w:r>
    </w:p>
    <w:p>
      <w:r>
        <w:br w:type="page"/>
      </w:r>
    </w:p>
    <w:p>
      <w:pPr>
        <w:pStyle w:val="Heading1"/>
        <w:spacing w:before="140" w:after="80"/>
      </w:pPr>
      <w:r>
        <w:rPr>
          <w:b/>
          <w:color w:val="17324D"/>
        </w:rPr>
        <w:t>1. Executive Summary</w:t>
      </w:r>
    </w:p>
    <w:p>
      <w:pPr>
        <w:spacing w:after="100" w:line="254" w:lineRule="auto"/>
      </w:pPr>
      <w:r>
        <w:rPr>
          <w:color w:val="1E293B"/>
          <w:sz w:val="19"/>
        </w:rPr>
        <w:t>Week 4 converts the visual and analytical patterns identified in Week 3 into a reproducible forecasting exercise. The primary targets are quarterly revenue and standardized operating margin for TCS, Infosys, HCLTech and Wipro. The modelling objective is deliberately limited: produce a transparent four-quarter statistical baseline after Q1 FY27, measure how candidate methods perform on held-out historical observations, and document the risks that could make the forecast unreliable.</w:t>
      </w:r>
    </w:p>
    <w:p>
      <w:pPr>
        <w:spacing w:after="100" w:line="254" w:lineRule="auto"/>
      </w:pPr>
      <w:r>
        <w:rPr>
          <w:color w:val="1E293B"/>
          <w:sz w:val="19"/>
        </w:rPr>
        <w:t>The main modelling constraint is sample size. Each company contributes only 13 quarterly observations. This is insufficient for a complex feature-rich machine-learning specification without a material risk of overfitting. Accordingly, the model set is concentrated on simple baselines and low-parameter time-series methods: Naive, Drift, damped Holt exponential smoothing, ARIMA(1,1,0), and AutoReg(1).</w:t>
      </w:r>
    </w:p>
    <w:p>
      <w:pPr>
        <w:pStyle w:val="Heading2"/>
        <w:spacing w:before="140" w:after="80"/>
      </w:pPr>
      <w:r>
        <w:rPr>
          <w:b/>
          <w:color w:val="007F86"/>
        </w:rPr>
        <w:t>Headline findings</w:t>
      </w:r>
    </w:p>
    <w:p>
      <w:pPr>
        <w:pStyle w:val="ListBullet"/>
        <w:spacing w:after="40"/>
      </w:pPr>
      <w:r>
        <w:rPr>
          <w:color w:val="1E293B"/>
          <w:sz w:val="19"/>
        </w:rPr>
        <w:t>For the revenue target, the holdout exercise selects ARIMA(1,1,0) for TCS, Infosys and HCLTech, while the Naive baseline is selected for Wipro under the primary MAE criterion.</w:t>
      </w:r>
    </w:p>
    <w:p>
      <w:pPr>
        <w:pStyle w:val="ListBullet"/>
        <w:spacing w:after="40"/>
      </w:pPr>
      <w:r>
        <w:rPr>
          <w:color w:val="1E293B"/>
          <w:sz w:val="19"/>
        </w:rPr>
        <w:t>For operating margin, the selected specification is Naive for TCS, Infosys and HCLTech, while AutoReg(1) is selected for Wipro.</w:t>
      </w:r>
    </w:p>
    <w:p>
      <w:pPr>
        <w:pStyle w:val="ListBullet"/>
        <w:spacing w:after="40"/>
      </w:pPr>
      <w:r>
        <w:rPr>
          <w:color w:val="1E293B"/>
          <w:sz w:val="19"/>
        </w:rPr>
        <w:t>The revenue model is used to extend the Q1 FY27 series through Q1 FY28, while margin forecasts are presented as a separate statistical baseline because margin definitions and dynamics differ from revenue.</w:t>
      </w:r>
    </w:p>
    <w:p>
      <w:pPr>
        <w:pStyle w:val="ListBullet"/>
        <w:spacing w:after="40"/>
      </w:pPr>
      <w:r>
        <w:rPr>
          <w:color w:val="1E293B"/>
          <w:sz w:val="19"/>
        </w:rPr>
        <w:t>No external predictor is used. FX, contract wins/TCV, headcount, attrition, macro conditions and industry demand are treated as missing explanatory information rather than invented features.</w:t>
      </w:r>
    </w:p>
    <w:p>
      <w:pPr>
        <w:pStyle w:val="ListBullet"/>
        <w:spacing w:after="40"/>
      </w:pPr>
      <w:r>
        <w:rPr>
          <w:color w:val="1E293B"/>
          <w:sz w:val="19"/>
        </w:rPr>
        <w:t>The forecasts should be interpreted as model-based scenarios. The short sample and absence of external drivers materially limit precision, especially beyond the first forecast quarter.</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Model governance principle</w:t>
            </w:r>
          </w:p>
          <w:p>
            <w:r>
              <w:rPr>
                <w:color w:val="1E293B"/>
                <w:sz w:val="18"/>
              </w:rPr>
              <w:t>Forecasting starts with temporal integrity: training data stop before the validation periods, the final forecast uses only observations through Q1 FY27, and model performance is measured on unseen quarters rather than on in-sample fit alone.</w:t>
            </w:r>
          </w:p>
        </w:tc>
      </w:tr>
    </w:tbl>
    <w:p>
      <w:r>
        <w:br w:type="page"/>
      </w:r>
    </w:p>
    <w:p>
      <w:pPr>
        <w:pStyle w:val="Heading1"/>
        <w:spacing w:before="140" w:after="80"/>
      </w:pPr>
      <w:r>
        <w:rPr>
          <w:b/>
          <w:color w:val="17324D"/>
        </w:rPr>
        <w:t>2. Forecasting Methodology — Literature Review</w:t>
      </w:r>
    </w:p>
    <w:p>
      <w:pPr>
        <w:spacing w:after="100" w:line="254" w:lineRule="auto"/>
      </w:pPr>
      <w:r>
        <w:rPr>
          <w:color w:val="1E293B"/>
          <w:sz w:val="19"/>
        </w:rPr>
        <w:t>Forecasting literature commonly separates methods that emphasize level/trend/seasonality from methods that emphasize serial dependence. Hyndman and Athanasopoulos describe exponential smoothing as a family in which more recent observations receive greater weight, with extensions for trend and seasonality. Their ARIMA framework instead focuses on autocorrelation and differencing. These approaches are complementary rather than mutually exclusive.</w:t>
      </w:r>
    </w:p>
    <w:p>
      <w:pPr>
        <w:spacing w:after="100" w:line="254" w:lineRule="auto"/>
      </w:pPr>
      <w:r>
        <w:rPr>
          <w:color w:val="1E293B"/>
          <w:sz w:val="19"/>
        </w:rPr>
        <w:t>In this project, quarterly seasonality is not estimated explicitly because the usable history contains only three complete annual cycles. A seasonal model would therefore have little repeated seasonal information to learn. The final candidate set focuses on level, trend and short-memory autoregressive structure, which is more consistent with the available sample size.</w:t>
      </w:r>
    </w:p>
    <w:p>
      <w:pPr>
        <w:pStyle w:val="Heading2"/>
        <w:spacing w:before="140" w:after="80"/>
      </w:pPr>
      <w:r>
        <w:rPr>
          <w:b/>
          <w:color w:val="007F86"/>
        </w:rPr>
        <w:t>2.1 Candidate methods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Mar>
              <w:top w:w="80" w:type="dxa"/>
              <w:start w:w="100" w:type="dxa"/>
              <w:bottom w:w="80" w:type="dxa"/>
              <w:end w:w="100" w:type="dxa"/>
            </w:tcMar>
          </w:tcPr>
          <w:p>
            <w:pPr>
              <w:jc w:val="center"/>
            </w:pPr>
            <w:r>
              <w:rPr>
                <w:b/>
                <w:color w:val="FFFFFF"/>
                <w:sz w:val="16"/>
              </w:rPr>
              <w:t>Method</w:t>
            </w:r>
          </w:p>
        </w:tc>
        <w:tc>
          <w:tcPr>
            <w:tcW w:type="dxa" w:w="4320"/>
            <w:shd w:fill="17324D"/>
            <w:tcMar>
              <w:top w:w="80" w:type="dxa"/>
              <w:start w:w="100" w:type="dxa"/>
              <w:bottom w:w="80" w:type="dxa"/>
              <w:end w:w="100" w:type="dxa"/>
            </w:tcMar>
          </w:tcPr>
          <w:p>
            <w:pPr>
              <w:jc w:val="center"/>
            </w:pPr>
            <w:r>
              <w:rPr>
                <w:b/>
                <w:color w:val="FFFFFF"/>
                <w:sz w:val="16"/>
              </w:rPr>
              <w:t>Concept</w:t>
            </w:r>
          </w:p>
        </w:tc>
        <w:tc>
          <w:tcPr>
            <w:tcW w:type="dxa" w:w="4464"/>
            <w:shd w:fill="17324D"/>
            <w:tcMar>
              <w:top w:w="80" w:type="dxa"/>
              <w:start w:w="100" w:type="dxa"/>
              <w:bottom w:w="80" w:type="dxa"/>
              <w:end w:w="100" w:type="dxa"/>
            </w:tcMar>
          </w:tcPr>
          <w:p>
            <w:pPr>
              <w:jc w:val="center"/>
            </w:pPr>
            <w:r>
              <w:rPr>
                <w:b/>
                <w:color w:val="FFFFFF"/>
                <w:sz w:val="16"/>
              </w:rPr>
              <w:t>Role in this project</w:t>
            </w:r>
          </w:p>
        </w:tc>
      </w:tr>
      <w:tr>
        <w:tc>
          <w:tcPr>
            <w:tcW w:type="dxa" w:w="1800"/>
            <w:tcMar>
              <w:top w:w="80" w:type="dxa"/>
              <w:start w:w="100" w:type="dxa"/>
              <w:bottom w:w="80" w:type="dxa"/>
              <w:end w:w="100" w:type="dxa"/>
            </w:tcMar>
            <w:vAlign w:val="center"/>
            <w:shd w:fill="F7FAFC"/>
          </w:tcPr>
          <w:p>
            <w:pPr>
              <w:jc w:val="left"/>
            </w:pPr>
            <w:r>
              <w:rPr>
                <w:color w:val="1E293B"/>
                <w:sz w:val="16"/>
              </w:rPr>
              <w:t>Naive baseline</w:t>
            </w:r>
          </w:p>
        </w:tc>
        <w:tc>
          <w:tcPr>
            <w:tcW w:type="dxa" w:w="4320"/>
            <w:tcMar>
              <w:top w:w="80" w:type="dxa"/>
              <w:start w:w="100" w:type="dxa"/>
              <w:bottom w:w="80" w:type="dxa"/>
              <w:end w:w="100" w:type="dxa"/>
            </w:tcMar>
            <w:vAlign w:val="center"/>
            <w:shd w:fill="F7FAFC"/>
          </w:tcPr>
          <w:p>
            <w:pPr>
              <w:jc w:val="center"/>
            </w:pPr>
            <w:r>
              <w:rPr>
                <w:color w:val="1E293B"/>
                <w:sz w:val="16"/>
              </w:rPr>
              <w:t>Next quarter equals the latest observed value.</w:t>
            </w:r>
          </w:p>
        </w:tc>
        <w:tc>
          <w:tcPr>
            <w:tcW w:type="dxa" w:w="4464"/>
            <w:tcMar>
              <w:top w:w="80" w:type="dxa"/>
              <w:start w:w="100" w:type="dxa"/>
              <w:bottom w:w="80" w:type="dxa"/>
              <w:end w:w="100" w:type="dxa"/>
            </w:tcMar>
            <w:vAlign w:val="center"/>
            <w:shd w:fill="F7FAFC"/>
          </w:tcPr>
          <w:p>
            <w:pPr>
              <w:jc w:val="center"/>
            </w:pPr>
            <w:r>
              <w:rPr>
                <w:color w:val="1E293B"/>
                <w:sz w:val="16"/>
              </w:rPr>
              <w:t>Benchmark that tests whether complexity adds value.</w:t>
            </w:r>
          </w:p>
        </w:tc>
      </w:tr>
      <w:tr>
        <w:tc>
          <w:tcPr>
            <w:tcW w:type="dxa" w:w="1800"/>
            <w:tcMar>
              <w:top w:w="80" w:type="dxa"/>
              <w:start w:w="100" w:type="dxa"/>
              <w:bottom w:w="80" w:type="dxa"/>
              <w:end w:w="100" w:type="dxa"/>
            </w:tcMar>
            <w:vAlign w:val="center"/>
          </w:tcPr>
          <w:p>
            <w:pPr>
              <w:jc w:val="left"/>
            </w:pPr>
            <w:r>
              <w:rPr>
                <w:color w:val="1E293B"/>
                <w:sz w:val="16"/>
              </w:rPr>
              <w:t>Drift</w:t>
            </w:r>
          </w:p>
        </w:tc>
        <w:tc>
          <w:tcPr>
            <w:tcW w:type="dxa" w:w="4320"/>
            <w:tcMar>
              <w:top w:w="80" w:type="dxa"/>
              <w:start w:w="100" w:type="dxa"/>
              <w:bottom w:w="80" w:type="dxa"/>
              <w:end w:w="100" w:type="dxa"/>
            </w:tcMar>
            <w:vAlign w:val="center"/>
          </w:tcPr>
          <w:p>
            <w:pPr>
              <w:jc w:val="center"/>
            </w:pPr>
            <w:r>
              <w:rPr>
                <w:color w:val="1E293B"/>
                <w:sz w:val="16"/>
              </w:rPr>
              <w:t>Extrapolates the average historical trend.</w:t>
            </w:r>
          </w:p>
        </w:tc>
        <w:tc>
          <w:tcPr>
            <w:tcW w:type="dxa" w:w="4464"/>
            <w:tcMar>
              <w:top w:w="80" w:type="dxa"/>
              <w:start w:w="100" w:type="dxa"/>
              <w:bottom w:w="80" w:type="dxa"/>
              <w:end w:w="100" w:type="dxa"/>
            </w:tcMar>
            <w:vAlign w:val="center"/>
          </w:tcPr>
          <w:p>
            <w:pPr>
              <w:jc w:val="center"/>
            </w:pPr>
            <w:r>
              <w:rPr>
                <w:color w:val="1E293B"/>
                <w:sz w:val="16"/>
              </w:rPr>
              <w:t>Simple direction-of-travel baseline.</w:t>
            </w:r>
          </w:p>
        </w:tc>
      </w:tr>
      <w:tr>
        <w:tc>
          <w:tcPr>
            <w:tcW w:type="dxa" w:w="1800"/>
            <w:tcMar>
              <w:top w:w="80" w:type="dxa"/>
              <w:start w:w="100" w:type="dxa"/>
              <w:bottom w:w="80" w:type="dxa"/>
              <w:end w:w="100" w:type="dxa"/>
            </w:tcMar>
            <w:vAlign w:val="center"/>
            <w:shd w:fill="F7FAFC"/>
          </w:tcPr>
          <w:p>
            <w:pPr>
              <w:jc w:val="left"/>
            </w:pPr>
            <w:r>
              <w:rPr>
                <w:color w:val="1E293B"/>
                <w:sz w:val="16"/>
              </w:rPr>
              <w:t>Holt damped</w:t>
            </w:r>
          </w:p>
        </w:tc>
        <w:tc>
          <w:tcPr>
            <w:tcW w:type="dxa" w:w="4320"/>
            <w:tcMar>
              <w:top w:w="80" w:type="dxa"/>
              <w:start w:w="100" w:type="dxa"/>
              <w:bottom w:w="80" w:type="dxa"/>
              <w:end w:w="100" w:type="dxa"/>
            </w:tcMar>
            <w:vAlign w:val="center"/>
            <w:shd w:fill="F7FAFC"/>
          </w:tcPr>
          <w:p>
            <w:pPr>
              <w:jc w:val="center"/>
            </w:pPr>
            <w:r>
              <w:rPr>
                <w:color w:val="1E293B"/>
                <w:sz w:val="16"/>
              </w:rPr>
              <w:t>Exponential smoothing with a trend that can flatten over time.</w:t>
            </w:r>
          </w:p>
        </w:tc>
        <w:tc>
          <w:tcPr>
            <w:tcW w:type="dxa" w:w="4464"/>
            <w:tcMar>
              <w:top w:w="80" w:type="dxa"/>
              <w:start w:w="100" w:type="dxa"/>
              <w:bottom w:w="80" w:type="dxa"/>
              <w:end w:w="100" w:type="dxa"/>
            </w:tcMar>
            <w:vAlign w:val="center"/>
            <w:shd w:fill="F7FAFC"/>
          </w:tcPr>
          <w:p>
            <w:pPr>
              <w:jc w:val="center"/>
            </w:pPr>
            <w:r>
              <w:rPr>
                <w:color w:val="1E293B"/>
                <w:sz w:val="16"/>
              </w:rPr>
              <w:t>Balances recent level and trend without aggressive extrapolation.</w:t>
            </w:r>
          </w:p>
        </w:tc>
      </w:tr>
      <w:tr>
        <w:tc>
          <w:tcPr>
            <w:tcW w:type="dxa" w:w="1800"/>
            <w:tcMar>
              <w:top w:w="80" w:type="dxa"/>
              <w:start w:w="100" w:type="dxa"/>
              <w:bottom w:w="80" w:type="dxa"/>
              <w:end w:w="100" w:type="dxa"/>
            </w:tcMar>
            <w:vAlign w:val="center"/>
          </w:tcPr>
          <w:p>
            <w:pPr>
              <w:jc w:val="left"/>
            </w:pPr>
            <w:r>
              <w:rPr>
                <w:color w:val="1E293B"/>
                <w:sz w:val="16"/>
              </w:rPr>
              <w:t>ARIMA(1,1,0)</w:t>
            </w:r>
          </w:p>
        </w:tc>
        <w:tc>
          <w:tcPr>
            <w:tcW w:type="dxa" w:w="4320"/>
            <w:tcMar>
              <w:top w:w="80" w:type="dxa"/>
              <w:start w:w="100" w:type="dxa"/>
              <w:bottom w:w="80" w:type="dxa"/>
              <w:end w:w="100" w:type="dxa"/>
            </w:tcMar>
            <w:vAlign w:val="center"/>
          </w:tcPr>
          <w:p>
            <w:pPr>
              <w:jc w:val="center"/>
            </w:pPr>
            <w:r>
              <w:rPr>
                <w:color w:val="1E293B"/>
                <w:sz w:val="16"/>
              </w:rPr>
              <w:t>First-difference plus one autoregressive term.</w:t>
            </w:r>
          </w:p>
        </w:tc>
        <w:tc>
          <w:tcPr>
            <w:tcW w:type="dxa" w:w="4464"/>
            <w:tcMar>
              <w:top w:w="80" w:type="dxa"/>
              <w:start w:w="100" w:type="dxa"/>
              <w:bottom w:w="80" w:type="dxa"/>
              <w:end w:w="100" w:type="dxa"/>
            </w:tcMar>
            <w:vAlign w:val="center"/>
          </w:tcPr>
          <w:p>
            <w:pPr>
              <w:jc w:val="center"/>
            </w:pPr>
            <w:r>
              <w:rPr>
                <w:color w:val="1E293B"/>
                <w:sz w:val="16"/>
              </w:rPr>
              <w:t>Captures short-run dependence while allowing trend through differencing.</w:t>
            </w:r>
          </w:p>
        </w:tc>
      </w:tr>
      <w:tr>
        <w:tc>
          <w:tcPr>
            <w:tcW w:type="dxa" w:w="1800"/>
            <w:tcMar>
              <w:top w:w="80" w:type="dxa"/>
              <w:start w:w="100" w:type="dxa"/>
              <w:bottom w:w="80" w:type="dxa"/>
              <w:end w:w="100" w:type="dxa"/>
            </w:tcMar>
            <w:vAlign w:val="center"/>
            <w:shd w:fill="F7FAFC"/>
          </w:tcPr>
          <w:p>
            <w:pPr>
              <w:jc w:val="left"/>
            </w:pPr>
            <w:r>
              <w:rPr>
                <w:color w:val="1E293B"/>
                <w:sz w:val="16"/>
              </w:rPr>
              <w:t>AutoReg(1)</w:t>
            </w:r>
          </w:p>
        </w:tc>
        <w:tc>
          <w:tcPr>
            <w:tcW w:type="dxa" w:w="4320"/>
            <w:tcMar>
              <w:top w:w="80" w:type="dxa"/>
              <w:start w:w="100" w:type="dxa"/>
              <w:bottom w:w="80" w:type="dxa"/>
              <w:end w:w="100" w:type="dxa"/>
            </w:tcMar>
            <w:vAlign w:val="center"/>
            <w:shd w:fill="F7FAFC"/>
          </w:tcPr>
          <w:p>
            <w:pPr>
              <w:jc w:val="center"/>
            </w:pPr>
            <w:r>
              <w:rPr>
                <w:color w:val="1E293B"/>
                <w:sz w:val="16"/>
              </w:rPr>
              <w:t>Regression on one lag plus deterministic trend.</w:t>
            </w:r>
          </w:p>
        </w:tc>
        <w:tc>
          <w:tcPr>
            <w:tcW w:type="dxa" w:w="4464"/>
            <w:tcMar>
              <w:top w:w="80" w:type="dxa"/>
              <w:start w:w="100" w:type="dxa"/>
              <w:bottom w:w="80" w:type="dxa"/>
              <w:end w:w="100" w:type="dxa"/>
            </w:tcMar>
            <w:vAlign w:val="center"/>
            <w:shd w:fill="F7FAFC"/>
          </w:tcPr>
          <w:p>
            <w:pPr>
              <w:jc w:val="center"/>
            </w:pPr>
            <w:r>
              <w:rPr>
                <w:color w:val="1E293B"/>
                <w:sz w:val="16"/>
              </w:rPr>
              <w:t>Low-parameter autoregressive model suitable for a short series.</w:t>
            </w:r>
          </w:p>
        </w:tc>
      </w:tr>
    </w:tbl>
    <w:p>
      <w:pPr>
        <w:pStyle w:val="Heading2"/>
        <w:spacing w:before="140" w:after="80"/>
      </w:pPr>
      <w:r>
        <w:rPr>
          <w:b/>
          <w:color w:val="007F86"/>
        </w:rPr>
        <w:t>2.2 Method-selection logic</w:t>
      </w:r>
    </w:p>
    <w:p>
      <w:pPr>
        <w:pStyle w:val="ListBullet"/>
        <w:spacing w:after="40"/>
      </w:pPr>
      <w:r>
        <w:rPr>
          <w:color w:val="1E293B"/>
          <w:sz w:val="19"/>
        </w:rPr>
        <w:t>The naive model is retained as the minimum-complexity benchmark.</w:t>
      </w:r>
    </w:p>
    <w:p>
      <w:pPr>
        <w:pStyle w:val="ListBullet"/>
        <w:spacing w:after="40"/>
      </w:pPr>
      <w:r>
        <w:rPr>
          <w:color w:val="1E293B"/>
          <w:sz w:val="19"/>
        </w:rPr>
        <w:t>Exponential smoothing is included because the series show persistent level and trend movements.</w:t>
      </w:r>
    </w:p>
    <w:p>
      <w:pPr>
        <w:pStyle w:val="ListBullet"/>
        <w:spacing w:after="40"/>
      </w:pPr>
      <w:r>
        <w:rPr>
          <w:color w:val="1E293B"/>
          <w:sz w:val="19"/>
        </w:rPr>
        <w:t>ARIMA is included because differencing and autocorrelation provide a complementary time-series representation.</w:t>
      </w:r>
    </w:p>
    <w:p>
      <w:pPr>
        <w:pStyle w:val="ListBullet"/>
        <w:spacing w:after="40"/>
      </w:pPr>
      <w:r>
        <w:rPr>
          <w:color w:val="1E293B"/>
          <w:sz w:val="19"/>
        </w:rPr>
        <w:t>AutoReg(1) is included as a compact autoregressive specification with one lag and deterministic trend.</w:t>
      </w:r>
    </w:p>
    <w:p>
      <w:pPr>
        <w:pStyle w:val="ListBullet"/>
        <w:spacing w:after="40"/>
      </w:pPr>
      <w:r>
        <w:rPr>
          <w:color w:val="1E293B"/>
          <w:sz w:val="19"/>
        </w:rPr>
        <w:t>High-capacity machine-learning models are not used as the primary models because the sample is too small to create a defensible train/validation/test feature matrix without substantial overfitting risk.</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Reference framework</w:t>
            </w:r>
          </w:p>
          <w:p>
            <w:r>
              <w:rPr>
                <w:color w:val="1E293B"/>
                <w:sz w:val="18"/>
              </w:rPr>
              <w:t>Hyndman &amp; Athanasopoulos, Forecasting: Principles and Practice; statsmodels documentation for Holt/ExponentialSmoothing and AutoReg; scikit-learn documentation for time-ordered validation. Full references are listed in Section 10.</w:t>
            </w:r>
          </w:p>
        </w:tc>
      </w:tr>
    </w:tbl>
    <w:p>
      <w:r>
        <w:br w:type="page"/>
      </w:r>
    </w:p>
    <w:p>
      <w:pPr>
        <w:pStyle w:val="Heading1"/>
        <w:spacing w:before="140" w:after="80"/>
      </w:pPr>
      <w:r>
        <w:rPr>
          <w:b/>
          <w:color w:val="17324D"/>
        </w:rPr>
        <w:t>3. Data, Variables and Forecasting Assumptions</w:t>
      </w:r>
    </w:p>
    <w:p>
      <w:pPr>
        <w:spacing w:after="100" w:line="254" w:lineRule="auto"/>
      </w:pPr>
      <w:r>
        <w:rPr>
          <w:color w:val="1E293B"/>
          <w:sz w:val="19"/>
        </w:rPr>
        <w:t>The model consumes the Week 2 cleaned quarterly panel so that the forecasting stage cannot diverge from the data definitions used in Weeks 2 and 3. The common panel contains 52 observations: 13 quarters for each of the four companies. Revenue, operating profit, net profit, QoQ growth, YoY growth, operating margin and net margin are available.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80" w:type="dxa"/>
              <w:start w:w="100" w:type="dxa"/>
              <w:bottom w:w="80" w:type="dxa"/>
              <w:end w:w="100" w:type="dxa"/>
            </w:tcMar>
          </w:tcPr>
          <w:p>
            <w:pPr>
              <w:jc w:val="center"/>
            </w:pPr>
            <w:r>
              <w:rPr>
                <w:b/>
                <w:color w:val="FFFFFF"/>
                <w:sz w:val="16"/>
              </w:rPr>
              <w:t>Variable</w:t>
            </w:r>
          </w:p>
        </w:tc>
        <w:tc>
          <w:tcPr>
            <w:tcW w:type="dxa" w:w="2376"/>
            <w:shd w:fill="17324D"/>
            <w:tcMar>
              <w:top w:w="80" w:type="dxa"/>
              <w:start w:w="100" w:type="dxa"/>
              <w:bottom w:w="80" w:type="dxa"/>
              <w:end w:w="100" w:type="dxa"/>
            </w:tcMar>
          </w:tcPr>
          <w:p>
            <w:pPr>
              <w:jc w:val="center"/>
            </w:pPr>
            <w:r>
              <w:rPr>
                <w:b/>
                <w:color w:val="FFFFFF"/>
                <w:sz w:val="16"/>
              </w:rPr>
              <w:t>Role</w:t>
            </w:r>
          </w:p>
        </w:tc>
        <w:tc>
          <w:tcPr>
            <w:tcW w:type="dxa" w:w="6048"/>
            <w:shd w:fill="17324D"/>
            <w:tcMar>
              <w:top w:w="80" w:type="dxa"/>
              <w:start w:w="100" w:type="dxa"/>
              <w:bottom w:w="80" w:type="dxa"/>
              <w:end w:w="100" w:type="dxa"/>
            </w:tcMar>
          </w:tcPr>
          <w:p>
            <w:pPr>
              <w:jc w:val="center"/>
            </w:pPr>
            <w:r>
              <w:rPr>
                <w:b/>
                <w:color w:val="FFFFFF"/>
                <w:sz w:val="16"/>
              </w:rPr>
              <w:t>Definition / control</w:t>
            </w:r>
          </w:p>
        </w:tc>
      </w:tr>
      <w:tr>
        <w:tc>
          <w:tcPr>
            <w:tcW w:type="dxa" w:w="2232"/>
            <w:tcMar>
              <w:top w:w="80" w:type="dxa"/>
              <w:start w:w="100" w:type="dxa"/>
              <w:bottom w:w="80" w:type="dxa"/>
              <w:end w:w="100" w:type="dxa"/>
            </w:tcMar>
            <w:vAlign w:val="center"/>
            <w:shd w:fill="F7FAFC"/>
          </w:tcPr>
          <w:p>
            <w:pPr>
              <w:jc w:val="left"/>
            </w:pPr>
            <w:r>
              <w:rPr>
                <w:color w:val="1E293B"/>
                <w:sz w:val="16"/>
              </w:rPr>
              <w:t>Revenue (₹ crore)</w:t>
            </w:r>
          </w:p>
        </w:tc>
        <w:tc>
          <w:tcPr>
            <w:tcW w:type="dxa" w:w="2376"/>
            <w:tcMar>
              <w:top w:w="80" w:type="dxa"/>
              <w:start w:w="100" w:type="dxa"/>
              <w:bottom w:w="80" w:type="dxa"/>
              <w:end w:w="100" w:type="dxa"/>
            </w:tcMar>
            <w:vAlign w:val="center"/>
            <w:shd w:fill="F7FAFC"/>
          </w:tcPr>
          <w:p>
            <w:pPr>
              <w:jc w:val="center"/>
            </w:pPr>
            <w:r>
              <w:rPr>
                <w:color w:val="1E293B"/>
                <w:sz w:val="16"/>
              </w:rPr>
              <w:t>Primary forecast target</w:t>
            </w:r>
          </w:p>
        </w:tc>
        <w:tc>
          <w:tcPr>
            <w:tcW w:type="dxa" w:w="6048"/>
            <w:tcMar>
              <w:top w:w="80" w:type="dxa"/>
              <w:start w:w="100" w:type="dxa"/>
              <w:bottom w:w="80" w:type="dxa"/>
              <w:end w:w="100" w:type="dxa"/>
            </w:tcMar>
            <w:vAlign w:val="center"/>
            <w:shd w:fill="F7FAFC"/>
          </w:tcPr>
          <w:p>
            <w:pPr>
              <w:jc w:val="center"/>
            </w:pPr>
            <w:r>
              <w:rPr>
                <w:color w:val="1E293B"/>
                <w:sz w:val="16"/>
              </w:rPr>
              <w:t>Absolute quarterly revenue in standardized INR crore.</w:t>
            </w:r>
          </w:p>
        </w:tc>
      </w:tr>
      <w:tr>
        <w:tc>
          <w:tcPr>
            <w:tcW w:type="dxa" w:w="2232"/>
            <w:tcMar>
              <w:top w:w="80" w:type="dxa"/>
              <w:start w:w="100" w:type="dxa"/>
              <w:bottom w:w="80" w:type="dxa"/>
              <w:end w:w="100" w:type="dxa"/>
            </w:tcMar>
            <w:vAlign w:val="center"/>
          </w:tcPr>
          <w:p>
            <w:pPr>
              <w:jc w:val="left"/>
            </w:pPr>
            <w:r>
              <w:rPr>
                <w:color w:val="1E293B"/>
                <w:sz w:val="16"/>
              </w:rPr>
              <w:t>Operating margin (%)</w:t>
            </w:r>
          </w:p>
        </w:tc>
        <w:tc>
          <w:tcPr>
            <w:tcW w:type="dxa" w:w="2376"/>
            <w:tcMar>
              <w:top w:w="80" w:type="dxa"/>
              <w:start w:w="100" w:type="dxa"/>
              <w:bottom w:w="80" w:type="dxa"/>
              <w:end w:w="100" w:type="dxa"/>
            </w:tcMar>
            <w:vAlign w:val="center"/>
          </w:tcPr>
          <w:p>
            <w:pPr>
              <w:jc w:val="center"/>
            </w:pPr>
            <w:r>
              <w:rPr>
                <w:color w:val="1E293B"/>
                <w:sz w:val="16"/>
              </w:rPr>
              <w:t>Secondary forecast target</w:t>
            </w:r>
          </w:p>
        </w:tc>
        <w:tc>
          <w:tcPr>
            <w:tcW w:type="dxa" w:w="6048"/>
            <w:tcMar>
              <w:top w:w="80" w:type="dxa"/>
              <w:start w:w="100" w:type="dxa"/>
              <w:bottom w:w="80" w:type="dxa"/>
              <w:end w:w="100" w:type="dxa"/>
            </w:tcMar>
            <w:vAlign w:val="center"/>
          </w:tcPr>
          <w:p>
            <w:pPr>
              <w:jc w:val="center"/>
            </w:pPr>
            <w:r>
              <w:rPr>
                <w:color w:val="1E293B"/>
                <w:sz w:val="16"/>
              </w:rPr>
              <w:t>Operating profit divided by revenue in the standardized panel.</w:t>
            </w:r>
          </w:p>
        </w:tc>
      </w:tr>
      <w:tr>
        <w:tc>
          <w:tcPr>
            <w:tcW w:type="dxa" w:w="2232"/>
            <w:tcMar>
              <w:top w:w="80" w:type="dxa"/>
              <w:start w:w="100" w:type="dxa"/>
              <w:bottom w:w="80" w:type="dxa"/>
              <w:end w:w="100" w:type="dxa"/>
            </w:tcMar>
            <w:vAlign w:val="center"/>
            <w:shd w:fill="F7FAFC"/>
          </w:tcPr>
          <w:p>
            <w:pPr>
              <w:jc w:val="left"/>
            </w:pPr>
            <w:r>
              <w:rPr>
                <w:color w:val="1E293B"/>
                <w:sz w:val="16"/>
              </w:rPr>
              <w:t>Lagged revenue</w:t>
            </w:r>
          </w:p>
        </w:tc>
        <w:tc>
          <w:tcPr>
            <w:tcW w:type="dxa" w:w="2376"/>
            <w:tcMar>
              <w:top w:w="80" w:type="dxa"/>
              <w:start w:w="100" w:type="dxa"/>
              <w:bottom w:w="80" w:type="dxa"/>
              <w:end w:w="100" w:type="dxa"/>
            </w:tcMar>
            <w:vAlign w:val="center"/>
            <w:shd w:fill="F7FAFC"/>
          </w:tcPr>
          <w:p>
            <w:pPr>
              <w:jc w:val="center"/>
            </w:pPr>
            <w:r>
              <w:rPr>
                <w:color w:val="1E293B"/>
                <w:sz w:val="16"/>
              </w:rPr>
              <w:t>Implicit AR feature</w:t>
            </w:r>
          </w:p>
        </w:tc>
        <w:tc>
          <w:tcPr>
            <w:tcW w:type="dxa" w:w="6048"/>
            <w:tcMar>
              <w:top w:w="80" w:type="dxa"/>
              <w:start w:w="100" w:type="dxa"/>
              <w:bottom w:w="80" w:type="dxa"/>
              <w:end w:w="100" w:type="dxa"/>
            </w:tcMar>
            <w:vAlign w:val="center"/>
            <w:shd w:fill="F7FAFC"/>
          </w:tcPr>
          <w:p>
            <w:pPr>
              <w:jc w:val="center"/>
            </w:pPr>
            <w:r>
              <w:rPr>
                <w:color w:val="1E293B"/>
                <w:sz w:val="16"/>
              </w:rPr>
              <w:t>Previous-quarter revenue for the AutoReg(1) model.</w:t>
            </w:r>
          </w:p>
        </w:tc>
      </w:tr>
      <w:tr>
        <w:tc>
          <w:tcPr>
            <w:tcW w:type="dxa" w:w="2232"/>
            <w:tcMar>
              <w:top w:w="80" w:type="dxa"/>
              <w:start w:w="100" w:type="dxa"/>
              <w:bottom w:w="80" w:type="dxa"/>
              <w:end w:w="100" w:type="dxa"/>
            </w:tcMar>
            <w:vAlign w:val="center"/>
          </w:tcPr>
          <w:p>
            <w:pPr>
              <w:jc w:val="left"/>
            </w:pPr>
            <w:r>
              <w:rPr>
                <w:color w:val="1E293B"/>
                <w:sz w:val="16"/>
              </w:rPr>
              <w:t>Deterministic trend</w:t>
            </w:r>
          </w:p>
        </w:tc>
        <w:tc>
          <w:tcPr>
            <w:tcW w:type="dxa" w:w="2376"/>
            <w:tcMar>
              <w:top w:w="80" w:type="dxa"/>
              <w:start w:w="100" w:type="dxa"/>
              <w:bottom w:w="80" w:type="dxa"/>
              <w:end w:w="100" w:type="dxa"/>
            </w:tcMar>
            <w:vAlign w:val="center"/>
          </w:tcPr>
          <w:p>
            <w:pPr>
              <w:jc w:val="center"/>
            </w:pPr>
            <w:r>
              <w:rPr>
                <w:color w:val="1E293B"/>
                <w:sz w:val="16"/>
              </w:rPr>
              <w:t>Model component</w:t>
            </w:r>
          </w:p>
        </w:tc>
        <w:tc>
          <w:tcPr>
            <w:tcW w:type="dxa" w:w="6048"/>
            <w:tcMar>
              <w:top w:w="80" w:type="dxa"/>
              <w:start w:w="100" w:type="dxa"/>
              <w:bottom w:w="80" w:type="dxa"/>
              <w:end w:w="100" w:type="dxa"/>
            </w:tcMar>
            <w:vAlign w:val="center"/>
          </w:tcPr>
          <w:p>
            <w:pPr>
              <w:jc w:val="center"/>
            </w:pPr>
            <w:r>
              <w:rPr>
                <w:color w:val="1E293B"/>
                <w:sz w:val="16"/>
              </w:rPr>
              <w:t>Time index used in Drift/AutoReg specifications.</w:t>
            </w:r>
          </w:p>
        </w:tc>
      </w:tr>
      <w:tr>
        <w:tc>
          <w:tcPr>
            <w:tcW w:type="dxa" w:w="2232"/>
            <w:tcMar>
              <w:top w:w="80" w:type="dxa"/>
              <w:start w:w="100" w:type="dxa"/>
              <w:bottom w:w="80" w:type="dxa"/>
              <w:end w:w="100" w:type="dxa"/>
            </w:tcMar>
            <w:vAlign w:val="center"/>
            <w:shd w:fill="F7FAFC"/>
          </w:tcPr>
          <w:p>
            <w:pPr>
              <w:jc w:val="left"/>
            </w:pPr>
            <w:r>
              <w:rPr>
                <w:color w:val="1E293B"/>
                <w:sz w:val="16"/>
              </w:rPr>
              <w:t>Quarter sequence</w:t>
            </w:r>
          </w:p>
        </w:tc>
        <w:tc>
          <w:tcPr>
            <w:tcW w:type="dxa" w:w="2376"/>
            <w:tcMar>
              <w:top w:w="80" w:type="dxa"/>
              <w:start w:w="100" w:type="dxa"/>
              <w:bottom w:w="80" w:type="dxa"/>
              <w:end w:w="100" w:type="dxa"/>
            </w:tcMar>
            <w:vAlign w:val="center"/>
            <w:shd w:fill="F7FAFC"/>
          </w:tcPr>
          <w:p>
            <w:pPr>
              <w:jc w:val="center"/>
            </w:pPr>
            <w:r>
              <w:rPr>
                <w:color w:val="1E293B"/>
                <w:sz w:val="16"/>
              </w:rPr>
              <w:t>Temporal index</w:t>
            </w:r>
          </w:p>
        </w:tc>
        <w:tc>
          <w:tcPr>
            <w:tcW w:type="dxa" w:w="6048"/>
            <w:tcMar>
              <w:top w:w="80" w:type="dxa"/>
              <w:start w:w="100" w:type="dxa"/>
              <w:bottom w:w="80" w:type="dxa"/>
              <w:end w:w="100" w:type="dxa"/>
            </w:tcMar>
            <w:vAlign w:val="center"/>
            <w:shd w:fill="F7FAFC"/>
          </w:tcPr>
          <w:p>
            <w:pPr>
              <w:jc w:val="center"/>
            </w:pPr>
            <w:r>
              <w:rPr>
                <w:color w:val="1E293B"/>
                <w:sz w:val="16"/>
              </w:rPr>
              <w:t>Ordered Q1 FY24 through Q1 FY27; forecast extends four additional quarters.</w:t>
            </w:r>
          </w:p>
        </w:tc>
      </w:tr>
    </w:tbl>
    <w:p>
      <w:pPr>
        <w:pStyle w:val="Heading2"/>
        <w:spacing w:before="140" w:after="80"/>
      </w:pPr>
      <w:r>
        <w:rPr>
          <w:b/>
          <w:color w:val="007F86"/>
        </w:rPr>
        <w:t>3.1 Key assumptions</w:t>
      </w:r>
    </w:p>
    <w:p>
      <w:pPr>
        <w:pStyle w:val="ListBullet"/>
        <w:spacing w:after="40"/>
      </w:pPr>
      <w:r>
        <w:rPr>
          <w:color w:val="1E293B"/>
          <w:sz w:val="19"/>
        </w:rPr>
        <w:t>The historical dataset is correctly standardized as documented in Week 2.</w:t>
      </w:r>
    </w:p>
    <w:p>
      <w:pPr>
        <w:pStyle w:val="ListBullet"/>
        <w:spacing w:after="40"/>
      </w:pPr>
      <w:r>
        <w:rPr>
          <w:color w:val="1E293B"/>
          <w:sz w:val="19"/>
        </w:rPr>
        <w:t>The relationship between recent observations and near-term values contains enough information to support a short-horizon statistical baseline, but not a precise long-term earnings model.</w:t>
      </w:r>
    </w:p>
    <w:p>
      <w:pPr>
        <w:pStyle w:val="ListBullet"/>
        <w:spacing w:after="40"/>
      </w:pPr>
      <w:r>
        <w:rPr>
          <w:color w:val="1E293B"/>
          <w:sz w:val="19"/>
        </w:rPr>
        <w:t>No structural break is explicitly modelled. Major changes in demand, pricing, acquisitions, currency, utilization or reporting basis can reduce forecast accuracy.</w:t>
      </w:r>
    </w:p>
    <w:p>
      <w:pPr>
        <w:pStyle w:val="ListBullet"/>
        <w:spacing w:after="40"/>
      </w:pPr>
      <w:r>
        <w:rPr>
          <w:color w:val="1E293B"/>
          <w:sz w:val="19"/>
        </w:rPr>
        <w:t>Q1 FY27 is the information cutoff. No later observations are permitted to enter model fitting or feature construction.</w:t>
      </w:r>
    </w:p>
    <w:p>
      <w:pPr>
        <w:pStyle w:val="ListBullet"/>
        <w:spacing w:after="40"/>
      </w:pPr>
      <w:r>
        <w:rPr>
          <w:color w:val="1E293B"/>
          <w:sz w:val="19"/>
        </w:rPr>
        <w:t>Operating margin forecasts use the standardized historical margin field and are not presented as a direct forecast of every issuer’s own separately defined EBIT/IT-services margin.</w:t>
      </w:r>
    </w:p>
    <w:p>
      <w:pPr>
        <w:pStyle w:val="Heading2"/>
        <w:spacing w:before="140" w:after="80"/>
      </w:pPr>
      <w:r>
        <w:rPr>
          <w:b/>
          <w:color w:val="007F86"/>
        </w:rPr>
        <w:t>3.2 Main risks to forecast interpretation</w:t>
      </w:r>
    </w:p>
    <w:p>
      <w:pPr>
        <w:pStyle w:val="ListBullet"/>
        <w:spacing w:after="40"/>
      </w:pPr>
      <w:r>
        <w:rPr>
          <w:color w:val="1E293B"/>
          <w:sz w:val="19"/>
        </w:rPr>
        <w:t>Foreign-exchange movements may change INR revenue even if underlying demand is stable.</w:t>
      </w:r>
    </w:p>
    <w:p>
      <w:pPr>
        <w:pStyle w:val="ListBullet"/>
        <w:spacing w:after="40"/>
      </w:pPr>
      <w:r>
        <w:rPr>
          <w:color w:val="1E293B"/>
          <w:sz w:val="19"/>
        </w:rPr>
        <w:t>Large contract wins/losses can create step changes not visible in a short univariate history.</w:t>
      </w:r>
    </w:p>
    <w:p>
      <w:pPr>
        <w:pStyle w:val="ListBullet"/>
        <w:spacing w:after="40"/>
      </w:pPr>
      <w:r>
        <w:rPr>
          <w:color w:val="1E293B"/>
          <w:sz w:val="19"/>
        </w:rPr>
        <w:t>AI-led shifts in service mix and productivity can change the historical revenue/margin relationship.</w:t>
      </w:r>
    </w:p>
    <w:p>
      <w:pPr>
        <w:pStyle w:val="ListBullet"/>
        <w:spacing w:after="40"/>
      </w:pPr>
      <w:r>
        <w:rPr>
          <w:color w:val="1E293B"/>
          <w:sz w:val="19"/>
        </w:rPr>
        <w:t>Wage cycles, utilization changes and restructuring can move margins abruptly.</w:t>
      </w:r>
    </w:p>
    <w:p>
      <w:pPr>
        <w:pStyle w:val="ListBullet"/>
        <w:spacing w:after="40"/>
      </w:pPr>
      <w:r>
        <w:rPr>
          <w:color w:val="1E293B"/>
          <w:sz w:val="19"/>
        </w:rPr>
        <w:t>Issuer-specific reporting definitions can reduce cross-company comparability, especially for margin metrics.</w:t>
      </w:r>
    </w:p>
    <w:p>
      <w:r>
        <w:br w:type="page"/>
      </w:r>
    </w:p>
    <w:p>
      <w:pPr>
        <w:pStyle w:val="Heading1"/>
        <w:spacing w:before="140" w:after="80"/>
      </w:pPr>
      <w:r>
        <w:rPr>
          <w:b/>
          <w:color w:val="17324D"/>
        </w:rPr>
        <w:t>4. Step-by-Step Model Building Process</w:t>
      </w:r>
    </w:p>
    <w:p>
      <w:pPr>
        <w:pStyle w:val="Heading2"/>
        <w:spacing w:before="140" w:after="80"/>
      </w:pPr>
      <w:r>
        <w:rPr>
          <w:b/>
          <w:color w:val="007F86"/>
        </w:rPr>
        <w:t>Step 1 — Prepare the series</w:t>
      </w:r>
    </w:p>
    <w:p>
      <w:pPr>
        <w:spacing w:after="100" w:line="254" w:lineRule="auto"/>
      </w:pPr>
      <w:r>
        <w:rPr>
          <w:color w:val="1E293B"/>
          <w:sz w:val="19"/>
        </w:rPr>
        <w:t>Sort each company by quarter and confirm 13 observations. Use only Week 2 cleaned revenue and operating-margin fields.</w:t>
      </w:r>
    </w:p>
    <w:p>
      <w:pPr>
        <w:pStyle w:val="Heading2"/>
        <w:spacing w:before="140" w:after="80"/>
      </w:pPr>
      <w:r>
        <w:rPr>
          <w:b/>
          <w:color w:val="007F86"/>
        </w:rPr>
        <w:t>Step 2 — Define temporal holdout</w:t>
      </w:r>
    </w:p>
    <w:p>
      <w:pPr>
        <w:spacing w:after="100" w:line="254" w:lineRule="auto"/>
      </w:pPr>
      <w:r>
        <w:rPr>
          <w:color w:val="1E293B"/>
          <w:sz w:val="19"/>
        </w:rPr>
        <w:t>Train on the first 10 quarters (Q1 FY24–Q2 FY26) and hold out the final three quarters (Q3 FY26–Q1 FY27).</w:t>
      </w:r>
    </w:p>
    <w:p>
      <w:pPr>
        <w:pStyle w:val="Heading2"/>
        <w:spacing w:before="140" w:after="80"/>
      </w:pPr>
      <w:r>
        <w:rPr>
          <w:b/>
          <w:color w:val="007F86"/>
        </w:rPr>
        <w:t>Step 3 — Fit candidate models</w:t>
      </w:r>
    </w:p>
    <w:p>
      <w:pPr>
        <w:spacing w:after="100" w:line="254" w:lineRule="auto"/>
      </w:pPr>
      <w:r>
        <w:rPr>
          <w:color w:val="1E293B"/>
          <w:sz w:val="19"/>
        </w:rPr>
        <w:t>Fit Naive, Drift, Holt damped, ARIMA(1,1,0) and AutoReg(1) separately for each target/company pair.</w:t>
      </w:r>
    </w:p>
    <w:p>
      <w:pPr>
        <w:pStyle w:val="Heading2"/>
        <w:spacing w:before="140" w:after="80"/>
      </w:pPr>
      <w:r>
        <w:rPr>
          <w:b/>
          <w:color w:val="007F86"/>
        </w:rPr>
        <w:t>Step 4 — Calculate forecast errors</w:t>
      </w:r>
    </w:p>
    <w:p>
      <w:pPr>
        <w:spacing w:after="100" w:line="254" w:lineRule="auto"/>
      </w:pPr>
      <w:r>
        <w:rPr>
          <w:color w:val="1E293B"/>
          <w:sz w:val="19"/>
        </w:rPr>
        <w:t>Compare predictions against the three unseen quarters using MAE, RMSE and MAPE.</w:t>
      </w:r>
    </w:p>
    <w:p>
      <w:pPr>
        <w:pStyle w:val="Heading2"/>
        <w:spacing w:before="140" w:after="80"/>
      </w:pPr>
      <w:r>
        <w:rPr>
          <w:b/>
          <w:color w:val="007F86"/>
        </w:rPr>
        <w:t>Step 5 — Select specification</w:t>
      </w:r>
    </w:p>
    <w:p>
      <w:pPr>
        <w:spacing w:after="100" w:line="254" w:lineRule="auto"/>
      </w:pPr>
      <w:r>
        <w:rPr>
          <w:color w:val="1E293B"/>
          <w:sz w:val="19"/>
        </w:rPr>
        <w:t>Use holdout MAE as the primary selection criterion; retain RMSE/MAPE as diagnostic context.</w:t>
      </w:r>
    </w:p>
    <w:p>
      <w:pPr>
        <w:pStyle w:val="Heading2"/>
        <w:spacing w:before="140" w:after="80"/>
      </w:pPr>
      <w:r>
        <w:rPr>
          <w:b/>
          <w:color w:val="007F86"/>
        </w:rPr>
        <w:t>Step 6 — Refit to full history</w:t>
      </w:r>
    </w:p>
    <w:p>
      <w:pPr>
        <w:spacing w:after="100" w:line="254" w:lineRule="auto"/>
      </w:pPr>
      <w:r>
        <w:rPr>
          <w:color w:val="1E293B"/>
          <w:sz w:val="19"/>
        </w:rPr>
        <w:t>Refit the selected model using all 13 observed quarters through Q1 FY27.</w:t>
      </w:r>
    </w:p>
    <w:p>
      <w:pPr>
        <w:pStyle w:val="Heading2"/>
        <w:spacing w:before="140" w:after="80"/>
      </w:pPr>
      <w:r>
        <w:rPr>
          <w:b/>
          <w:color w:val="007F86"/>
        </w:rPr>
        <w:t>Step 7 — Forecast forward</w:t>
      </w:r>
    </w:p>
    <w:p>
      <w:pPr>
        <w:spacing w:after="100" w:line="254" w:lineRule="auto"/>
      </w:pPr>
      <w:r>
        <w:rPr>
          <w:color w:val="1E293B"/>
          <w:sz w:val="19"/>
        </w:rPr>
        <w:t>Generate Q2 FY27, Q3 FY27, Q4 FY27 and Q1 FY28 point forecasts.</w:t>
      </w:r>
    </w:p>
    <w:p>
      <w:pPr>
        <w:pStyle w:val="Heading2"/>
        <w:spacing w:before="140" w:after="80"/>
      </w:pPr>
      <w:r>
        <w:rPr>
          <w:b/>
          <w:color w:val="007F86"/>
        </w:rPr>
        <w:t>Step 8 — Review model risk</w:t>
      </w:r>
    </w:p>
    <w:p>
      <w:pPr>
        <w:spacing w:after="100" w:line="254" w:lineRule="auto"/>
      </w:pPr>
      <w:r>
        <w:rPr>
          <w:color w:val="1E293B"/>
          <w:sz w:val="19"/>
        </w:rPr>
        <w:t>Inspect the forecast path against historical behaviour and record limitations rather than treating the point estimate as certainty.</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Why this sequence matters</w:t>
            </w:r>
          </w:p>
          <w:p>
            <w:r>
              <w:rPr>
                <w:color w:val="1E293B"/>
                <w:sz w:val="18"/>
              </w:rPr>
              <w:t>The procedure prevents look-ahead leakage. Model selection occurs before the full series is used. Only after a specification has been chosen is it refit through Q1 FY27 for the production forecast.</w:t>
            </w:r>
          </w:p>
        </w:tc>
      </w:tr>
    </w:tbl>
    <w:p>
      <w:r>
        <w:br w:type="page"/>
      </w:r>
    </w:p>
    <w:p>
      <w:pPr>
        <w:pStyle w:val="Heading1"/>
        <w:spacing w:before="140" w:after="80"/>
      </w:pPr>
      <w:r>
        <w:rPr>
          <w:b/>
          <w:color w:val="17324D"/>
        </w:rPr>
        <w:t>5. Validation Results and Model Selection</w:t>
      </w:r>
    </w:p>
    <w:p>
      <w:pPr>
        <w:spacing w:after="100" w:line="254" w:lineRule="auto"/>
      </w:pPr>
      <w:r>
        <w:rPr>
          <w:color w:val="1E293B"/>
          <w:sz w:val="19"/>
        </w:rPr>
        <w:t>The holdout sample contains the last three observed quarters. MAE is the primary selection metric because it remains directly interpretable in the target’s native units and does not square large errors. RMSE is retained to show sensitivity to larger misses, while MAPE provides a percentage-based view but can become unstable when the denominator is small; this is less problematic for revenue and margin levels here because both remain well above zero.</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6"/>
            <w:shd w:fill="17324D"/>
            <w:tcMar>
              <w:top w:w="80" w:type="dxa"/>
              <w:start w:w="100" w:type="dxa"/>
              <w:bottom w:w="80" w:type="dxa"/>
              <w:end w:w="100" w:type="dxa"/>
            </w:tcMar>
          </w:tcPr>
          <w:p>
            <w:pPr>
              <w:jc w:val="center"/>
            </w:pPr>
            <w:r>
              <w:rPr>
                <w:b/>
                <w:color w:val="FFFFFF"/>
                <w:sz w:val="16"/>
              </w:rPr>
              <w:t>Company</w:t>
            </w:r>
          </w:p>
        </w:tc>
        <w:tc>
          <w:tcPr>
            <w:tcW w:type="dxa" w:w="2520"/>
            <w:shd w:fill="17324D"/>
            <w:tcMar>
              <w:top w:w="80" w:type="dxa"/>
              <w:start w:w="100" w:type="dxa"/>
              <w:bottom w:w="80" w:type="dxa"/>
              <w:end w:w="100" w:type="dxa"/>
            </w:tcMar>
          </w:tcPr>
          <w:p>
            <w:pPr>
              <w:jc w:val="center"/>
            </w:pPr>
            <w:r>
              <w:rPr>
                <w:b/>
                <w:color w:val="FFFFFF"/>
                <w:sz w:val="16"/>
              </w:rPr>
              <w:t>Selected revenue model</w:t>
            </w:r>
          </w:p>
        </w:tc>
        <w:tc>
          <w:tcPr>
            <w:tcW w:type="dxa" w:w="1800"/>
            <w:shd w:fill="17324D"/>
            <w:tcMar>
              <w:top w:w="80" w:type="dxa"/>
              <w:start w:w="100" w:type="dxa"/>
              <w:bottom w:w="80" w:type="dxa"/>
              <w:end w:w="100" w:type="dxa"/>
            </w:tcMar>
          </w:tcPr>
          <w:p>
            <w:pPr>
              <w:jc w:val="center"/>
            </w:pPr>
            <w:r>
              <w:rPr>
                <w:b/>
                <w:color w:val="FFFFFF"/>
                <w:sz w:val="16"/>
              </w:rPr>
              <w:t>MAE (₹ Cr)</w:t>
            </w:r>
          </w:p>
        </w:tc>
        <w:tc>
          <w:tcPr>
            <w:tcW w:type="dxa" w:w="1800"/>
            <w:shd w:fill="17324D"/>
            <w:tcMar>
              <w:top w:w="80" w:type="dxa"/>
              <w:start w:w="100" w:type="dxa"/>
              <w:bottom w:w="80" w:type="dxa"/>
              <w:end w:w="100" w:type="dxa"/>
            </w:tcMar>
          </w:tcPr>
          <w:p>
            <w:pPr>
              <w:jc w:val="center"/>
            </w:pPr>
            <w:r>
              <w:rPr>
                <w:b/>
                <w:color w:val="FFFFFF"/>
                <w:sz w:val="16"/>
              </w:rPr>
              <w:t>RMSE (₹ Cr)</w:t>
            </w:r>
          </w:p>
        </w:tc>
        <w:tc>
          <w:tcPr>
            <w:tcW w:type="dxa" w:w="1440"/>
            <w:shd w:fill="17324D"/>
            <w:tcMar>
              <w:top w:w="80" w:type="dxa"/>
              <w:start w:w="100" w:type="dxa"/>
              <w:bottom w:w="80" w:type="dxa"/>
              <w:end w:w="100" w:type="dxa"/>
            </w:tcMar>
          </w:tcPr>
          <w:p>
            <w:pPr>
              <w:jc w:val="center"/>
            </w:pPr>
            <w:r>
              <w:rPr>
                <w:b/>
                <w:color w:val="FFFFFF"/>
                <w:sz w:val="16"/>
              </w:rPr>
              <w:t>MAPE</w:t>
            </w:r>
          </w:p>
        </w:tc>
      </w:tr>
      <w:tr>
        <w:tc>
          <w:tcPr>
            <w:tcW w:type="dxa" w:w="1656"/>
            <w:tcMar>
              <w:top w:w="80" w:type="dxa"/>
              <w:start w:w="100" w:type="dxa"/>
              <w:bottom w:w="80" w:type="dxa"/>
              <w:end w:w="100" w:type="dxa"/>
            </w:tcMar>
            <w:vAlign w:val="center"/>
            <w:shd w:fill="F7FAFC"/>
          </w:tcPr>
          <w:p>
            <w:pPr>
              <w:jc w:val="left"/>
            </w:pPr>
            <w:r>
              <w:rPr>
                <w:color w:val="1E293B"/>
                <w:sz w:val="16"/>
              </w:rPr>
              <w:t>TCS</w:t>
            </w:r>
          </w:p>
        </w:tc>
        <w:tc>
          <w:tcPr>
            <w:tcW w:type="dxa" w:w="2520"/>
            <w:tcMar>
              <w:top w:w="80" w:type="dxa"/>
              <w:start w:w="100" w:type="dxa"/>
              <w:bottom w:w="80" w:type="dxa"/>
              <w:end w:w="100" w:type="dxa"/>
            </w:tcMar>
            <w:vAlign w:val="center"/>
            <w:shd w:fill="F7FAFC"/>
          </w:tcPr>
          <w:p>
            <w:pPr>
              <w:jc w:val="center"/>
            </w:pPr>
            <w:r>
              <w:rPr>
                <w:color w:val="1E293B"/>
                <w:sz w:val="16"/>
              </w:rPr>
              <w:t>ARIMA(1,1,0)</w:t>
            </w:r>
          </w:p>
        </w:tc>
        <w:tc>
          <w:tcPr>
            <w:tcW w:type="dxa" w:w="1800"/>
            <w:tcMar>
              <w:top w:w="80" w:type="dxa"/>
              <w:start w:w="100" w:type="dxa"/>
              <w:bottom w:w="80" w:type="dxa"/>
              <w:end w:w="100" w:type="dxa"/>
            </w:tcMar>
            <w:vAlign w:val="center"/>
            <w:shd w:fill="F7FAFC"/>
          </w:tcPr>
          <w:p>
            <w:pPr>
              <w:jc w:val="center"/>
            </w:pPr>
            <w:r>
              <w:rPr>
                <w:color w:val="1E293B"/>
                <w:sz w:val="16"/>
              </w:rPr>
              <w:t>2,825</w:t>
            </w:r>
          </w:p>
        </w:tc>
        <w:tc>
          <w:tcPr>
            <w:tcW w:type="dxa" w:w="1800"/>
            <w:tcMar>
              <w:top w:w="80" w:type="dxa"/>
              <w:start w:w="100" w:type="dxa"/>
              <w:bottom w:w="80" w:type="dxa"/>
              <w:end w:w="100" w:type="dxa"/>
            </w:tcMar>
            <w:vAlign w:val="center"/>
            <w:shd w:fill="F7FAFC"/>
          </w:tcPr>
          <w:p>
            <w:pPr>
              <w:jc w:val="center"/>
            </w:pPr>
            <w:r>
              <w:rPr>
                <w:color w:val="1E293B"/>
                <w:sz w:val="16"/>
              </w:rPr>
              <w:t>3,251</w:t>
            </w:r>
          </w:p>
        </w:tc>
        <w:tc>
          <w:tcPr>
            <w:tcW w:type="dxa" w:w="1440"/>
            <w:tcMar>
              <w:top w:w="80" w:type="dxa"/>
              <w:start w:w="100" w:type="dxa"/>
              <w:bottom w:w="80" w:type="dxa"/>
              <w:end w:w="100" w:type="dxa"/>
            </w:tcMar>
            <w:vAlign w:val="center"/>
            <w:shd w:fill="F7FAFC"/>
          </w:tcPr>
          <w:p>
            <w:pPr>
              <w:jc w:val="center"/>
            </w:pPr>
            <w:r>
              <w:rPr>
                <w:color w:val="1E293B"/>
                <w:sz w:val="16"/>
              </w:rPr>
              <w:t>3.97%</w:t>
            </w:r>
          </w:p>
        </w:tc>
      </w:tr>
      <w:tr>
        <w:tc>
          <w:tcPr>
            <w:tcW w:type="dxa" w:w="1656"/>
            <w:tcMar>
              <w:top w:w="80" w:type="dxa"/>
              <w:start w:w="100" w:type="dxa"/>
              <w:bottom w:w="80" w:type="dxa"/>
              <w:end w:w="100" w:type="dxa"/>
            </w:tcMar>
            <w:vAlign w:val="center"/>
          </w:tcPr>
          <w:p>
            <w:pPr>
              <w:jc w:val="left"/>
            </w:pPr>
            <w:r>
              <w:rPr>
                <w:color w:val="1E293B"/>
                <w:sz w:val="16"/>
              </w:rPr>
              <w:t>Infosys</w:t>
            </w:r>
          </w:p>
        </w:tc>
        <w:tc>
          <w:tcPr>
            <w:tcW w:type="dxa" w:w="2520"/>
            <w:tcMar>
              <w:top w:w="80" w:type="dxa"/>
              <w:start w:w="100" w:type="dxa"/>
              <w:bottom w:w="80" w:type="dxa"/>
              <w:end w:w="100" w:type="dxa"/>
            </w:tcMar>
            <w:vAlign w:val="center"/>
          </w:tcPr>
          <w:p>
            <w:pPr>
              <w:jc w:val="center"/>
            </w:pPr>
            <w:r>
              <w:rPr>
                <w:color w:val="1E293B"/>
                <w:sz w:val="16"/>
              </w:rPr>
              <w:t>ARIMA(1,1,0)</w:t>
            </w:r>
          </w:p>
        </w:tc>
        <w:tc>
          <w:tcPr>
            <w:tcW w:type="dxa" w:w="1800"/>
            <w:tcMar>
              <w:top w:w="80" w:type="dxa"/>
              <w:start w:w="100" w:type="dxa"/>
              <w:bottom w:w="80" w:type="dxa"/>
              <w:end w:w="100" w:type="dxa"/>
            </w:tcMar>
            <w:vAlign w:val="center"/>
          </w:tcPr>
          <w:p>
            <w:pPr>
              <w:jc w:val="center"/>
            </w:pPr>
            <w:r>
              <w:rPr>
                <w:color w:val="1E293B"/>
                <w:sz w:val="16"/>
              </w:rPr>
              <w:t>760</w:t>
            </w:r>
          </w:p>
        </w:tc>
        <w:tc>
          <w:tcPr>
            <w:tcW w:type="dxa" w:w="1800"/>
            <w:tcMar>
              <w:top w:w="80" w:type="dxa"/>
              <w:start w:w="100" w:type="dxa"/>
              <w:bottom w:w="80" w:type="dxa"/>
              <w:end w:w="100" w:type="dxa"/>
            </w:tcMar>
            <w:vAlign w:val="center"/>
          </w:tcPr>
          <w:p>
            <w:pPr>
              <w:jc w:val="center"/>
            </w:pPr>
            <w:r>
              <w:rPr>
                <w:color w:val="1E293B"/>
                <w:sz w:val="16"/>
              </w:rPr>
              <w:t>953</w:t>
            </w:r>
          </w:p>
        </w:tc>
        <w:tc>
          <w:tcPr>
            <w:tcW w:type="dxa" w:w="1440"/>
            <w:tcMar>
              <w:top w:w="80" w:type="dxa"/>
              <w:start w:w="100" w:type="dxa"/>
              <w:bottom w:w="80" w:type="dxa"/>
              <w:end w:w="100" w:type="dxa"/>
            </w:tcMar>
            <w:vAlign w:val="center"/>
          </w:tcPr>
          <w:p>
            <w:pPr>
              <w:jc w:val="center"/>
            </w:pPr>
            <w:r>
              <w:rPr>
                <w:color w:val="1E293B"/>
                <w:sz w:val="16"/>
              </w:rPr>
              <w:t>1.60%</w:t>
            </w:r>
          </w:p>
        </w:tc>
      </w:tr>
      <w:tr>
        <w:tc>
          <w:tcPr>
            <w:tcW w:type="dxa" w:w="1656"/>
            <w:tcMar>
              <w:top w:w="80" w:type="dxa"/>
              <w:start w:w="100" w:type="dxa"/>
              <w:bottom w:w="80" w:type="dxa"/>
              <w:end w:w="100" w:type="dxa"/>
            </w:tcMar>
            <w:vAlign w:val="center"/>
            <w:shd w:fill="F7FAFC"/>
          </w:tcPr>
          <w:p>
            <w:pPr>
              <w:jc w:val="left"/>
            </w:pPr>
            <w:r>
              <w:rPr>
                <w:color w:val="1E293B"/>
                <w:sz w:val="16"/>
              </w:rPr>
              <w:t>HCLTech</w:t>
            </w:r>
          </w:p>
        </w:tc>
        <w:tc>
          <w:tcPr>
            <w:tcW w:type="dxa" w:w="2520"/>
            <w:tcMar>
              <w:top w:w="80" w:type="dxa"/>
              <w:start w:w="100" w:type="dxa"/>
              <w:bottom w:w="80" w:type="dxa"/>
              <w:end w:w="100" w:type="dxa"/>
            </w:tcMar>
            <w:vAlign w:val="center"/>
            <w:shd w:fill="F7FAFC"/>
          </w:tcPr>
          <w:p>
            <w:pPr>
              <w:jc w:val="center"/>
            </w:pPr>
            <w:r>
              <w:rPr>
                <w:color w:val="1E293B"/>
                <w:sz w:val="16"/>
              </w:rPr>
              <w:t>ARIMA(1,1,0)</w:t>
            </w:r>
          </w:p>
        </w:tc>
        <w:tc>
          <w:tcPr>
            <w:tcW w:type="dxa" w:w="1800"/>
            <w:tcMar>
              <w:top w:w="80" w:type="dxa"/>
              <w:start w:w="100" w:type="dxa"/>
              <w:bottom w:w="80" w:type="dxa"/>
              <w:end w:w="100" w:type="dxa"/>
            </w:tcMar>
            <w:vAlign w:val="center"/>
            <w:shd w:fill="F7FAFC"/>
          </w:tcPr>
          <w:p>
            <w:pPr>
              <w:jc w:val="center"/>
            </w:pPr>
            <w:r>
              <w:rPr>
                <w:color w:val="1E293B"/>
                <w:sz w:val="16"/>
              </w:rPr>
              <w:t>985</w:t>
            </w:r>
          </w:p>
        </w:tc>
        <w:tc>
          <w:tcPr>
            <w:tcW w:type="dxa" w:w="1800"/>
            <w:tcMar>
              <w:top w:w="80" w:type="dxa"/>
              <w:start w:w="100" w:type="dxa"/>
              <w:bottom w:w="80" w:type="dxa"/>
              <w:end w:w="100" w:type="dxa"/>
            </w:tcMar>
            <w:vAlign w:val="center"/>
            <w:shd w:fill="F7FAFC"/>
          </w:tcPr>
          <w:p>
            <w:pPr>
              <w:jc w:val="center"/>
            </w:pPr>
            <w:r>
              <w:rPr>
                <w:color w:val="1E293B"/>
                <w:sz w:val="16"/>
              </w:rPr>
              <w:t>1,017</w:t>
            </w:r>
          </w:p>
        </w:tc>
        <w:tc>
          <w:tcPr>
            <w:tcW w:type="dxa" w:w="1440"/>
            <w:tcMar>
              <w:top w:w="80" w:type="dxa"/>
              <w:start w:w="100" w:type="dxa"/>
              <w:bottom w:w="80" w:type="dxa"/>
              <w:end w:w="100" w:type="dxa"/>
            </w:tcMar>
            <w:vAlign w:val="center"/>
            <w:shd w:fill="F7FAFC"/>
          </w:tcPr>
          <w:p>
            <w:pPr>
              <w:jc w:val="center"/>
            </w:pPr>
            <w:r>
              <w:rPr>
                <w:color w:val="1E293B"/>
                <w:sz w:val="16"/>
              </w:rPr>
              <w:t>2.89%</w:t>
            </w:r>
          </w:p>
        </w:tc>
      </w:tr>
      <w:tr>
        <w:tc>
          <w:tcPr>
            <w:tcW w:type="dxa" w:w="1656"/>
            <w:tcMar>
              <w:top w:w="80" w:type="dxa"/>
              <w:start w:w="100" w:type="dxa"/>
              <w:bottom w:w="80" w:type="dxa"/>
              <w:end w:w="100" w:type="dxa"/>
            </w:tcMar>
            <w:vAlign w:val="center"/>
          </w:tcPr>
          <w:p>
            <w:pPr>
              <w:jc w:val="left"/>
            </w:pPr>
            <w:r>
              <w:rPr>
                <w:color w:val="1E293B"/>
                <w:sz w:val="16"/>
              </w:rPr>
              <w:t>Wipro</w:t>
            </w:r>
          </w:p>
        </w:tc>
        <w:tc>
          <w:tcPr>
            <w:tcW w:type="dxa" w:w="2520"/>
            <w:tcMar>
              <w:top w:w="80" w:type="dxa"/>
              <w:start w:w="100" w:type="dxa"/>
              <w:bottom w:w="80" w:type="dxa"/>
              <w:end w:w="100" w:type="dxa"/>
            </w:tcMar>
            <w:vAlign w:val="center"/>
          </w:tcPr>
          <w:p>
            <w:pPr>
              <w:jc w:val="center"/>
            </w:pPr>
            <w:r>
              <w:rPr>
                <w:color w:val="1E293B"/>
                <w:sz w:val="16"/>
              </w:rPr>
              <w:t>Naive</w:t>
            </w:r>
          </w:p>
        </w:tc>
        <w:tc>
          <w:tcPr>
            <w:tcW w:type="dxa" w:w="1800"/>
            <w:tcMar>
              <w:top w:w="80" w:type="dxa"/>
              <w:start w:w="100" w:type="dxa"/>
              <w:bottom w:w="80" w:type="dxa"/>
              <w:end w:w="100" w:type="dxa"/>
            </w:tcMar>
            <w:vAlign w:val="center"/>
          </w:tcPr>
          <w:p>
            <w:pPr>
              <w:jc w:val="center"/>
            </w:pPr>
            <w:r>
              <w:rPr>
                <w:color w:val="1E293B"/>
                <w:sz w:val="16"/>
              </w:rPr>
              <w:t>1,393</w:t>
            </w:r>
          </w:p>
        </w:tc>
        <w:tc>
          <w:tcPr>
            <w:tcW w:type="dxa" w:w="1800"/>
            <w:tcMar>
              <w:top w:w="80" w:type="dxa"/>
              <w:start w:w="100" w:type="dxa"/>
              <w:bottom w:w="80" w:type="dxa"/>
              <w:end w:w="100" w:type="dxa"/>
            </w:tcMar>
            <w:vAlign w:val="center"/>
          </w:tcPr>
          <w:p>
            <w:pPr>
              <w:jc w:val="center"/>
            </w:pPr>
            <w:r>
              <w:rPr>
                <w:color w:val="1E293B"/>
                <w:sz w:val="16"/>
              </w:rPr>
              <w:t>1,447</w:t>
            </w:r>
          </w:p>
        </w:tc>
        <w:tc>
          <w:tcPr>
            <w:tcW w:type="dxa" w:w="1440"/>
            <w:tcMar>
              <w:top w:w="80" w:type="dxa"/>
              <w:start w:w="100" w:type="dxa"/>
              <w:bottom w:w="80" w:type="dxa"/>
              <w:end w:w="100" w:type="dxa"/>
            </w:tcMar>
            <w:vAlign w:val="center"/>
          </w:tcPr>
          <w:p>
            <w:pPr>
              <w:jc w:val="center"/>
            </w:pPr>
            <w:r>
              <w:rPr>
                <w:color w:val="1E293B"/>
                <w:sz w:val="16"/>
              </w:rPr>
              <w:t>5.76%</w:t>
            </w:r>
          </w:p>
        </w:tc>
      </w:tr>
    </w:tbl>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6"/>
            <w:shd w:fill="17324D"/>
            <w:tcMar>
              <w:top w:w="80" w:type="dxa"/>
              <w:start w:w="100" w:type="dxa"/>
              <w:bottom w:w="80" w:type="dxa"/>
              <w:end w:w="100" w:type="dxa"/>
            </w:tcMar>
          </w:tcPr>
          <w:p>
            <w:pPr>
              <w:jc w:val="center"/>
            </w:pPr>
            <w:r>
              <w:rPr>
                <w:b/>
                <w:color w:val="FFFFFF"/>
                <w:sz w:val="16"/>
              </w:rPr>
              <w:t>Company</w:t>
            </w:r>
          </w:p>
        </w:tc>
        <w:tc>
          <w:tcPr>
            <w:tcW w:type="dxa" w:w="2520"/>
            <w:shd w:fill="17324D"/>
            <w:tcMar>
              <w:top w:w="80" w:type="dxa"/>
              <w:start w:w="100" w:type="dxa"/>
              <w:bottom w:w="80" w:type="dxa"/>
              <w:end w:w="100" w:type="dxa"/>
            </w:tcMar>
          </w:tcPr>
          <w:p>
            <w:pPr>
              <w:jc w:val="center"/>
            </w:pPr>
            <w:r>
              <w:rPr>
                <w:b/>
                <w:color w:val="FFFFFF"/>
                <w:sz w:val="16"/>
              </w:rPr>
              <w:t>Selected margin model</w:t>
            </w:r>
          </w:p>
        </w:tc>
        <w:tc>
          <w:tcPr>
            <w:tcW w:type="dxa" w:w="1800"/>
            <w:shd w:fill="17324D"/>
            <w:tcMar>
              <w:top w:w="80" w:type="dxa"/>
              <w:start w:w="100" w:type="dxa"/>
              <w:bottom w:w="80" w:type="dxa"/>
              <w:end w:w="100" w:type="dxa"/>
            </w:tcMar>
          </w:tcPr>
          <w:p>
            <w:pPr>
              <w:jc w:val="center"/>
            </w:pPr>
            <w:r>
              <w:rPr>
                <w:b/>
                <w:color w:val="FFFFFF"/>
                <w:sz w:val="16"/>
              </w:rPr>
              <w:t>MAE (ppt)</w:t>
            </w:r>
          </w:p>
        </w:tc>
        <w:tc>
          <w:tcPr>
            <w:tcW w:type="dxa" w:w="1800"/>
            <w:shd w:fill="17324D"/>
            <w:tcMar>
              <w:top w:w="80" w:type="dxa"/>
              <w:start w:w="100" w:type="dxa"/>
              <w:bottom w:w="80" w:type="dxa"/>
              <w:end w:w="100" w:type="dxa"/>
            </w:tcMar>
          </w:tcPr>
          <w:p>
            <w:pPr>
              <w:jc w:val="center"/>
            </w:pPr>
            <w:r>
              <w:rPr>
                <w:b/>
                <w:color w:val="FFFFFF"/>
                <w:sz w:val="16"/>
              </w:rPr>
              <w:t>RMSE (ppt)</w:t>
            </w:r>
          </w:p>
        </w:tc>
        <w:tc>
          <w:tcPr>
            <w:tcW w:type="dxa" w:w="1440"/>
            <w:shd w:fill="17324D"/>
            <w:tcMar>
              <w:top w:w="80" w:type="dxa"/>
              <w:start w:w="100" w:type="dxa"/>
              <w:bottom w:w="80" w:type="dxa"/>
              <w:end w:w="100" w:type="dxa"/>
            </w:tcMar>
          </w:tcPr>
          <w:p>
            <w:pPr>
              <w:jc w:val="center"/>
            </w:pPr>
            <w:r>
              <w:rPr>
                <w:b/>
                <w:color w:val="FFFFFF"/>
                <w:sz w:val="16"/>
              </w:rPr>
              <w:t>MAPE</w:t>
            </w:r>
          </w:p>
        </w:tc>
      </w:tr>
      <w:tr>
        <w:tc>
          <w:tcPr>
            <w:tcW w:type="dxa" w:w="1656"/>
            <w:tcMar>
              <w:top w:w="80" w:type="dxa"/>
              <w:start w:w="100" w:type="dxa"/>
              <w:bottom w:w="80" w:type="dxa"/>
              <w:end w:w="100" w:type="dxa"/>
            </w:tcMar>
            <w:vAlign w:val="center"/>
            <w:shd w:fill="F7FAFC"/>
          </w:tcPr>
          <w:p>
            <w:pPr>
              <w:jc w:val="left"/>
            </w:pPr>
            <w:r>
              <w:rPr>
                <w:color w:val="1E293B"/>
                <w:sz w:val="16"/>
              </w:rPr>
              <w:t>TCS</w:t>
            </w:r>
          </w:p>
        </w:tc>
        <w:tc>
          <w:tcPr>
            <w:tcW w:type="dxa" w:w="2520"/>
            <w:tcMar>
              <w:top w:w="80" w:type="dxa"/>
              <w:start w:w="100" w:type="dxa"/>
              <w:bottom w:w="80" w:type="dxa"/>
              <w:end w:w="100" w:type="dxa"/>
            </w:tcMar>
            <w:vAlign w:val="center"/>
            <w:shd w:fill="F7FAFC"/>
          </w:tcPr>
          <w:p>
            <w:pPr>
              <w:jc w:val="center"/>
            </w:pPr>
            <w:r>
              <w:rPr>
                <w:color w:val="1E293B"/>
                <w:sz w:val="16"/>
              </w:rPr>
              <w:t>Naive</w:t>
            </w:r>
          </w:p>
        </w:tc>
        <w:tc>
          <w:tcPr>
            <w:tcW w:type="dxa" w:w="1800"/>
            <w:tcMar>
              <w:top w:w="80" w:type="dxa"/>
              <w:start w:w="100" w:type="dxa"/>
              <w:bottom w:w="80" w:type="dxa"/>
              <w:end w:w="100" w:type="dxa"/>
            </w:tcMar>
            <w:vAlign w:val="center"/>
            <w:shd w:fill="F7FAFC"/>
          </w:tcPr>
          <w:p>
            <w:pPr>
              <w:jc w:val="center"/>
            </w:pPr>
            <w:r>
              <w:rPr>
                <w:color w:val="1E293B"/>
                <w:sz w:val="16"/>
              </w:rPr>
              <w:t>0.60 ppt</w:t>
            </w:r>
          </w:p>
        </w:tc>
        <w:tc>
          <w:tcPr>
            <w:tcW w:type="dxa" w:w="1800"/>
            <w:tcMar>
              <w:top w:w="80" w:type="dxa"/>
              <w:start w:w="100" w:type="dxa"/>
              <w:bottom w:w="80" w:type="dxa"/>
              <w:end w:w="100" w:type="dxa"/>
            </w:tcMar>
            <w:vAlign w:val="center"/>
            <w:shd w:fill="F7FAFC"/>
          </w:tcPr>
          <w:p>
            <w:pPr>
              <w:jc w:val="center"/>
            </w:pPr>
            <w:r>
              <w:rPr>
                <w:color w:val="1E293B"/>
                <w:sz w:val="16"/>
              </w:rPr>
              <w:t>0.95 ppt</w:t>
            </w:r>
          </w:p>
        </w:tc>
        <w:tc>
          <w:tcPr>
            <w:tcW w:type="dxa" w:w="1440"/>
            <w:tcMar>
              <w:top w:w="80" w:type="dxa"/>
              <w:start w:w="100" w:type="dxa"/>
              <w:bottom w:w="80" w:type="dxa"/>
              <w:end w:w="100" w:type="dxa"/>
            </w:tcMar>
            <w:vAlign w:val="center"/>
            <w:shd w:fill="F7FAFC"/>
          </w:tcPr>
          <w:p>
            <w:pPr>
              <w:jc w:val="center"/>
            </w:pPr>
            <w:r>
              <w:rPr>
                <w:color w:val="1E293B"/>
                <w:sz w:val="16"/>
              </w:rPr>
              <w:t>2.32%</w:t>
            </w:r>
          </w:p>
        </w:tc>
      </w:tr>
      <w:tr>
        <w:tc>
          <w:tcPr>
            <w:tcW w:type="dxa" w:w="1656"/>
            <w:tcMar>
              <w:top w:w="80" w:type="dxa"/>
              <w:start w:w="100" w:type="dxa"/>
              <w:bottom w:w="80" w:type="dxa"/>
              <w:end w:w="100" w:type="dxa"/>
            </w:tcMar>
            <w:vAlign w:val="center"/>
          </w:tcPr>
          <w:p>
            <w:pPr>
              <w:jc w:val="left"/>
            </w:pPr>
            <w:r>
              <w:rPr>
                <w:color w:val="1E293B"/>
                <w:sz w:val="16"/>
              </w:rPr>
              <w:t>Infosys</w:t>
            </w:r>
          </w:p>
        </w:tc>
        <w:tc>
          <w:tcPr>
            <w:tcW w:type="dxa" w:w="2520"/>
            <w:tcMar>
              <w:top w:w="80" w:type="dxa"/>
              <w:start w:w="100" w:type="dxa"/>
              <w:bottom w:w="80" w:type="dxa"/>
              <w:end w:w="100" w:type="dxa"/>
            </w:tcMar>
            <w:vAlign w:val="center"/>
          </w:tcPr>
          <w:p>
            <w:pPr>
              <w:jc w:val="center"/>
            </w:pPr>
            <w:r>
              <w:rPr>
                <w:color w:val="1E293B"/>
                <w:sz w:val="16"/>
              </w:rPr>
              <w:t>Naive</w:t>
            </w:r>
          </w:p>
        </w:tc>
        <w:tc>
          <w:tcPr>
            <w:tcW w:type="dxa" w:w="1800"/>
            <w:tcMar>
              <w:top w:w="80" w:type="dxa"/>
              <w:start w:w="100" w:type="dxa"/>
              <w:bottom w:w="80" w:type="dxa"/>
              <w:end w:w="100" w:type="dxa"/>
            </w:tcMar>
            <w:vAlign w:val="center"/>
          </w:tcPr>
          <w:p>
            <w:pPr>
              <w:jc w:val="center"/>
            </w:pPr>
            <w:r>
              <w:rPr>
                <w:color w:val="1E293B"/>
                <w:sz w:val="16"/>
              </w:rPr>
              <w:t>0.23 ppt</w:t>
            </w:r>
          </w:p>
        </w:tc>
        <w:tc>
          <w:tcPr>
            <w:tcW w:type="dxa" w:w="1800"/>
            <w:tcMar>
              <w:top w:w="80" w:type="dxa"/>
              <w:start w:w="100" w:type="dxa"/>
              <w:bottom w:w="80" w:type="dxa"/>
              <w:end w:w="100" w:type="dxa"/>
            </w:tcMar>
            <w:vAlign w:val="center"/>
          </w:tcPr>
          <w:p>
            <w:pPr>
              <w:jc w:val="center"/>
            </w:pPr>
            <w:r>
              <w:rPr>
                <w:color w:val="1E293B"/>
                <w:sz w:val="16"/>
              </w:rPr>
              <w:t>0.28 ppt</w:t>
            </w:r>
          </w:p>
        </w:tc>
        <w:tc>
          <w:tcPr>
            <w:tcW w:type="dxa" w:w="1440"/>
            <w:tcMar>
              <w:top w:w="80" w:type="dxa"/>
              <w:start w:w="100" w:type="dxa"/>
              <w:bottom w:w="80" w:type="dxa"/>
              <w:end w:w="100" w:type="dxa"/>
            </w:tcMar>
            <w:vAlign w:val="center"/>
          </w:tcPr>
          <w:p>
            <w:pPr>
              <w:jc w:val="center"/>
            </w:pPr>
            <w:r>
              <w:rPr>
                <w:color w:val="1E293B"/>
                <w:sz w:val="16"/>
              </w:rPr>
              <w:t>0.98%</w:t>
            </w:r>
          </w:p>
        </w:tc>
      </w:tr>
      <w:tr>
        <w:tc>
          <w:tcPr>
            <w:tcW w:type="dxa" w:w="1656"/>
            <w:tcMar>
              <w:top w:w="80" w:type="dxa"/>
              <w:start w:w="100" w:type="dxa"/>
              <w:bottom w:w="80" w:type="dxa"/>
              <w:end w:w="100" w:type="dxa"/>
            </w:tcMar>
            <w:vAlign w:val="center"/>
            <w:shd w:fill="F7FAFC"/>
          </w:tcPr>
          <w:p>
            <w:pPr>
              <w:jc w:val="left"/>
            </w:pPr>
            <w:r>
              <w:rPr>
                <w:color w:val="1E293B"/>
                <w:sz w:val="16"/>
              </w:rPr>
              <w:t>HCLTech</w:t>
            </w:r>
          </w:p>
        </w:tc>
        <w:tc>
          <w:tcPr>
            <w:tcW w:type="dxa" w:w="2520"/>
            <w:tcMar>
              <w:top w:w="80" w:type="dxa"/>
              <w:start w:w="100" w:type="dxa"/>
              <w:bottom w:w="80" w:type="dxa"/>
              <w:end w:w="100" w:type="dxa"/>
            </w:tcMar>
            <w:vAlign w:val="center"/>
            <w:shd w:fill="F7FAFC"/>
          </w:tcPr>
          <w:p>
            <w:pPr>
              <w:jc w:val="center"/>
            </w:pPr>
            <w:r>
              <w:rPr>
                <w:color w:val="1E293B"/>
                <w:sz w:val="16"/>
              </w:rPr>
              <w:t>AutoReg(1)</w:t>
            </w:r>
          </w:p>
        </w:tc>
        <w:tc>
          <w:tcPr>
            <w:tcW w:type="dxa" w:w="1800"/>
            <w:tcMar>
              <w:top w:w="80" w:type="dxa"/>
              <w:start w:w="100" w:type="dxa"/>
              <w:bottom w:w="80" w:type="dxa"/>
              <w:end w:w="100" w:type="dxa"/>
            </w:tcMar>
            <w:vAlign w:val="center"/>
            <w:shd w:fill="F7FAFC"/>
          </w:tcPr>
          <w:p>
            <w:pPr>
              <w:jc w:val="center"/>
            </w:pPr>
            <w:r>
              <w:rPr>
                <w:color w:val="1E293B"/>
                <w:sz w:val="16"/>
              </w:rPr>
              <w:t>0.69 ppt</w:t>
            </w:r>
          </w:p>
        </w:tc>
        <w:tc>
          <w:tcPr>
            <w:tcW w:type="dxa" w:w="1800"/>
            <w:tcMar>
              <w:top w:w="80" w:type="dxa"/>
              <w:start w:w="100" w:type="dxa"/>
              <w:bottom w:w="80" w:type="dxa"/>
              <w:end w:w="100" w:type="dxa"/>
            </w:tcMar>
            <w:vAlign w:val="center"/>
            <w:shd w:fill="F7FAFC"/>
          </w:tcPr>
          <w:p>
            <w:pPr>
              <w:jc w:val="center"/>
            </w:pPr>
            <w:r>
              <w:rPr>
                <w:color w:val="1E293B"/>
                <w:sz w:val="16"/>
              </w:rPr>
              <w:t>0.97 ppt</w:t>
            </w:r>
          </w:p>
        </w:tc>
        <w:tc>
          <w:tcPr>
            <w:tcW w:type="dxa" w:w="1440"/>
            <w:tcMar>
              <w:top w:w="80" w:type="dxa"/>
              <w:start w:w="100" w:type="dxa"/>
              <w:bottom w:w="80" w:type="dxa"/>
              <w:end w:w="100" w:type="dxa"/>
            </w:tcMar>
            <w:vAlign w:val="center"/>
            <w:shd w:fill="F7FAFC"/>
          </w:tcPr>
          <w:p>
            <w:pPr>
              <w:jc w:val="center"/>
            </w:pPr>
            <w:r>
              <w:rPr>
                <w:color w:val="1E293B"/>
                <w:sz w:val="16"/>
              </w:rPr>
              <w:t>3.21%</w:t>
            </w:r>
          </w:p>
        </w:tc>
      </w:tr>
      <w:tr>
        <w:tc>
          <w:tcPr>
            <w:tcW w:type="dxa" w:w="1656"/>
            <w:tcMar>
              <w:top w:w="80" w:type="dxa"/>
              <w:start w:w="100" w:type="dxa"/>
              <w:bottom w:w="80" w:type="dxa"/>
              <w:end w:w="100" w:type="dxa"/>
            </w:tcMar>
            <w:vAlign w:val="center"/>
          </w:tcPr>
          <w:p>
            <w:pPr>
              <w:jc w:val="left"/>
            </w:pPr>
            <w:r>
              <w:rPr>
                <w:color w:val="1E293B"/>
                <w:sz w:val="16"/>
              </w:rPr>
              <w:t>Wipro</w:t>
            </w:r>
          </w:p>
        </w:tc>
        <w:tc>
          <w:tcPr>
            <w:tcW w:type="dxa" w:w="2520"/>
            <w:tcMar>
              <w:top w:w="80" w:type="dxa"/>
              <w:start w:w="100" w:type="dxa"/>
              <w:bottom w:w="80" w:type="dxa"/>
              <w:end w:w="100" w:type="dxa"/>
            </w:tcMar>
            <w:vAlign w:val="center"/>
          </w:tcPr>
          <w:p>
            <w:pPr>
              <w:jc w:val="center"/>
            </w:pPr>
            <w:r>
              <w:rPr>
                <w:color w:val="1E293B"/>
                <w:sz w:val="16"/>
              </w:rPr>
              <w:t>Naive</w:t>
            </w:r>
          </w:p>
        </w:tc>
        <w:tc>
          <w:tcPr>
            <w:tcW w:type="dxa" w:w="1800"/>
            <w:tcMar>
              <w:top w:w="80" w:type="dxa"/>
              <w:start w:w="100" w:type="dxa"/>
              <w:bottom w:w="80" w:type="dxa"/>
              <w:end w:w="100" w:type="dxa"/>
            </w:tcMar>
            <w:vAlign w:val="center"/>
          </w:tcPr>
          <w:p>
            <w:pPr>
              <w:jc w:val="center"/>
            </w:pPr>
            <w:r>
              <w:rPr>
                <w:color w:val="1E293B"/>
                <w:sz w:val="16"/>
              </w:rPr>
              <w:t>0.78 ppt</w:t>
            </w:r>
          </w:p>
        </w:tc>
        <w:tc>
          <w:tcPr>
            <w:tcW w:type="dxa" w:w="1800"/>
            <w:tcMar>
              <w:top w:w="80" w:type="dxa"/>
              <w:start w:w="100" w:type="dxa"/>
              <w:bottom w:w="80" w:type="dxa"/>
              <w:end w:w="100" w:type="dxa"/>
            </w:tcMar>
            <w:vAlign w:val="center"/>
          </w:tcPr>
          <w:p>
            <w:pPr>
              <w:jc w:val="center"/>
            </w:pPr>
            <w:r>
              <w:rPr>
                <w:color w:val="1E293B"/>
                <w:sz w:val="16"/>
              </w:rPr>
              <w:t>0.85 ppt</w:t>
            </w:r>
          </w:p>
        </w:tc>
        <w:tc>
          <w:tcPr>
            <w:tcW w:type="dxa" w:w="1440"/>
            <w:tcMar>
              <w:top w:w="80" w:type="dxa"/>
              <w:start w:w="100" w:type="dxa"/>
              <w:bottom w:w="80" w:type="dxa"/>
              <w:end w:w="100" w:type="dxa"/>
            </w:tcMar>
            <w:vAlign w:val="center"/>
          </w:tcPr>
          <w:p>
            <w:pPr>
              <w:jc w:val="center"/>
            </w:pPr>
            <w:r>
              <w:rPr>
                <w:color w:val="1E293B"/>
                <w:sz w:val="16"/>
              </w:rPr>
              <w:t>4.10%</w:t>
            </w:r>
          </w:p>
        </w:tc>
      </w:tr>
    </w:tbl>
    <w:p>
      <w:pPr>
        <w:pStyle w:val="Heading2"/>
        <w:spacing w:before="140" w:after="80"/>
      </w:pPr>
      <w:r>
        <w:rPr>
          <w:b/>
          <w:color w:val="007F86"/>
        </w:rPr>
        <w:t>5.1 Revenue model findings</w:t>
      </w:r>
    </w:p>
    <w:p>
      <w:pPr>
        <w:pStyle w:val="ListBullet"/>
        <w:spacing w:after="40"/>
      </w:pPr>
      <w:r>
        <w:rPr>
          <w:color w:val="1E293B"/>
          <w:sz w:val="19"/>
        </w:rPr>
        <w:t>TCS: ARIMA(1,1,0) produced holdout MAE of ₹2,825 crore; the next-best candidate on MAE had ₹3,011 crore MAE.</w:t>
      </w:r>
    </w:p>
    <w:p>
      <w:pPr>
        <w:pStyle w:val="ListBullet"/>
        <w:spacing w:after="40"/>
      </w:pPr>
      <w:r>
        <w:rPr>
          <w:color w:val="1E293B"/>
          <w:sz w:val="19"/>
        </w:rPr>
        <w:t>Infosys: ARIMA(1,1,0) produced holdout MAE of ₹760 crore; the next-best candidate on MAE had ₹1,653 crore MAE.</w:t>
      </w:r>
    </w:p>
    <w:p>
      <w:pPr>
        <w:pStyle w:val="ListBullet"/>
        <w:spacing w:after="40"/>
      </w:pPr>
      <w:r>
        <w:rPr>
          <w:color w:val="1E293B"/>
          <w:sz w:val="19"/>
        </w:rPr>
        <w:t>HCLTech: ARIMA(1,1,0) produced holdout MAE of ₹985 crore; the next-best candidate on MAE had ₹1,652 crore MAE.</w:t>
      </w:r>
    </w:p>
    <w:p>
      <w:pPr>
        <w:pStyle w:val="ListBullet"/>
        <w:spacing w:after="40"/>
      </w:pPr>
      <w:r>
        <w:rPr>
          <w:color w:val="1E293B"/>
          <w:sz w:val="19"/>
        </w:rPr>
        <w:t>Wipro: Naive produced holdout MAE of ₹1,393 crore; the next-best candidate on MAE had ₹1,497 crore MAE.</w:t>
      </w:r>
    </w:p>
    <w:p>
      <w:pPr>
        <w:pStyle w:val="Heading2"/>
        <w:spacing w:before="140" w:after="80"/>
      </w:pPr>
      <w:r>
        <w:rPr>
          <w:b/>
          <w:color w:val="007F86"/>
        </w:rPr>
        <w:t>5.2 Margin model findings</w:t>
      </w:r>
    </w:p>
    <w:p>
      <w:pPr>
        <w:pStyle w:val="ListBullet"/>
        <w:spacing w:after="40"/>
      </w:pPr>
      <w:r>
        <w:rPr>
          <w:color w:val="1E293B"/>
          <w:sz w:val="19"/>
        </w:rPr>
        <w:t>TCS: Naive was selected for standardized operating margin with holdout MAE of 0.60 percentage points.</w:t>
      </w:r>
    </w:p>
    <w:p>
      <w:pPr>
        <w:pStyle w:val="ListBullet"/>
        <w:spacing w:after="40"/>
      </w:pPr>
      <w:r>
        <w:rPr>
          <w:color w:val="1E293B"/>
          <w:sz w:val="19"/>
        </w:rPr>
        <w:t>Infosys: Naive was selected for standardized operating margin with holdout MAE of 0.23 percentage points.</w:t>
      </w:r>
    </w:p>
    <w:p>
      <w:pPr>
        <w:pStyle w:val="ListBullet"/>
        <w:spacing w:after="40"/>
      </w:pPr>
      <w:r>
        <w:rPr>
          <w:color w:val="1E293B"/>
          <w:sz w:val="19"/>
        </w:rPr>
        <w:t>HCLTech: AutoReg(1) was selected for standardized operating margin with holdout MAE of 0.69 percentage points.</w:t>
      </w:r>
    </w:p>
    <w:p>
      <w:pPr>
        <w:pStyle w:val="ListBullet"/>
        <w:spacing w:after="40"/>
      </w:pPr>
      <w:r>
        <w:rPr>
          <w:color w:val="1E293B"/>
          <w:sz w:val="19"/>
        </w:rPr>
        <w:t>Wipro: Naive was selected for standardized operating margin with holdout MAE of 0.78 percentage points.</w:t>
      </w:r>
    </w:p>
    <w:p>
      <w:r>
        <w:br w:type="page"/>
      </w:r>
    </w:p>
    <w:p>
      <w:pPr>
        <w:pStyle w:val="Heading1"/>
        <w:spacing w:before="140" w:after="80"/>
      </w:pPr>
      <w:r>
        <w:rPr>
          <w:b/>
          <w:color w:val="17324D"/>
        </w:rPr>
        <w:t>6. Revenue Forecasts — Q2 FY27 to Q1 FY28</w:t>
      </w:r>
    </w:p>
    <w:p>
      <w:r>
        <w:drawing>
          <wp:inline xmlns:a="http://schemas.openxmlformats.org/drawingml/2006/main" xmlns:pic="http://schemas.openxmlformats.org/drawingml/2006/picture">
            <wp:extent cx="6080760" cy="3233259"/>
            <wp:docPr id="1" name="Picture 1"/>
            <wp:cNvGraphicFramePr>
              <a:graphicFrameLocks noChangeAspect="1"/>
            </wp:cNvGraphicFramePr>
            <a:graphic>
              <a:graphicData uri="http://schemas.openxmlformats.org/drawingml/2006/picture">
                <pic:pic>
                  <pic:nvPicPr>
                    <pic:cNvPr id="0" name="combined_revenue_forecast_index.png"/>
                    <pic:cNvPicPr/>
                  </pic:nvPicPr>
                  <pic:blipFill>
                    <a:blip r:embed="rId11"/>
                    <a:stretch>
                      <a:fillRect/>
                    </a:stretch>
                  </pic:blipFill>
                  <pic:spPr>
                    <a:xfrm>
                      <a:off x="0" y="0"/>
                      <a:ext cx="6080760" cy="3233259"/>
                    </a:xfrm>
                    <a:prstGeom prst="rect"/>
                  </pic:spPr>
                </pic:pic>
              </a:graphicData>
            </a:graphic>
          </wp:inline>
        </w:drawing>
      </w:r>
    </w:p>
    <w:p>
      <w:pPr>
        <w:jc w:val="center"/>
      </w:pPr>
      <w:r>
        <w:rPr>
          <w:i/>
          <w:color w:val="6B7280"/>
          <w:sz w:val="17"/>
        </w:rPr>
        <w:t>Figure 1. Actual standardized revenue through Q1 FY27; dashed lines show four-quarter model forecasts indexed to Q1 FY24 = 100.</w:t>
      </w:r>
    </w:p>
    <w:p>
      <w:pPr>
        <w:spacing w:after="100" w:line="254" w:lineRule="auto"/>
      </w:pPr>
      <w:r>
        <w:rPr>
          <w:color w:val="1E293B"/>
          <w:sz w:val="19"/>
        </w:rPr>
        <w:t>The combined forecast view is intended to show the direction and relative scale of the model outputs, not to suggest that the four companies share identical business dynamics. Forecast paths reflect the selected model for each company and are anchored to the Q1 FY27 observation.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24D"/>
            <w:tcMar>
              <w:top w:w="80" w:type="dxa"/>
              <w:start w:w="100" w:type="dxa"/>
              <w:bottom w:w="80" w:type="dxa"/>
              <w:end w:w="100" w:type="dxa"/>
            </w:tcMar>
          </w:tcPr>
          <w:p>
            <w:pPr>
              <w:jc w:val="center"/>
            </w:pPr>
            <w:r>
              <w:rPr>
                <w:b/>
                <w:color w:val="FFFFFF"/>
                <w:sz w:val="16"/>
              </w:rPr>
              <w:t>Company</w:t>
            </w:r>
          </w:p>
        </w:tc>
        <w:tc>
          <w:tcPr>
            <w:tcW w:type="dxa" w:w="1944"/>
            <w:shd w:fill="17324D"/>
            <w:tcMar>
              <w:top w:w="80" w:type="dxa"/>
              <w:start w:w="100" w:type="dxa"/>
              <w:bottom w:w="80" w:type="dxa"/>
              <w:end w:w="100" w:type="dxa"/>
            </w:tcMar>
          </w:tcPr>
          <w:p>
            <w:pPr>
              <w:jc w:val="center"/>
            </w:pPr>
            <w:r>
              <w:rPr>
                <w:b/>
                <w:color w:val="FFFFFF"/>
                <w:sz w:val="16"/>
              </w:rPr>
              <w:t>Q2 FY27</w:t>
            </w:r>
          </w:p>
        </w:tc>
        <w:tc>
          <w:tcPr>
            <w:tcW w:type="dxa" w:w="1944"/>
            <w:shd w:fill="17324D"/>
            <w:tcMar>
              <w:top w:w="80" w:type="dxa"/>
              <w:start w:w="100" w:type="dxa"/>
              <w:bottom w:w="80" w:type="dxa"/>
              <w:end w:w="100" w:type="dxa"/>
            </w:tcMar>
          </w:tcPr>
          <w:p>
            <w:pPr>
              <w:jc w:val="center"/>
            </w:pPr>
            <w:r>
              <w:rPr>
                <w:b/>
                <w:color w:val="FFFFFF"/>
                <w:sz w:val="16"/>
              </w:rPr>
              <w:t>Q3 FY27</w:t>
            </w:r>
          </w:p>
        </w:tc>
        <w:tc>
          <w:tcPr>
            <w:tcW w:type="dxa" w:w="1944"/>
            <w:shd w:fill="17324D"/>
            <w:tcMar>
              <w:top w:w="80" w:type="dxa"/>
              <w:start w:w="100" w:type="dxa"/>
              <w:bottom w:w="80" w:type="dxa"/>
              <w:end w:w="100" w:type="dxa"/>
            </w:tcMar>
          </w:tcPr>
          <w:p>
            <w:pPr>
              <w:jc w:val="center"/>
            </w:pPr>
            <w:r>
              <w:rPr>
                <w:b/>
                <w:color w:val="FFFFFF"/>
                <w:sz w:val="16"/>
              </w:rPr>
              <w:t>Q4 FY27</w:t>
            </w:r>
          </w:p>
        </w:tc>
        <w:tc>
          <w:tcPr>
            <w:tcW w:type="dxa" w:w="1944"/>
            <w:shd w:fill="17324D"/>
            <w:tcMar>
              <w:top w:w="80" w:type="dxa"/>
              <w:start w:w="100" w:type="dxa"/>
              <w:bottom w:w="80" w:type="dxa"/>
              <w:end w:w="100" w:type="dxa"/>
            </w:tcMar>
          </w:tcPr>
          <w:p>
            <w:pPr>
              <w:jc w:val="center"/>
            </w:pPr>
            <w:r>
              <w:rPr>
                <w:b/>
                <w:color w:val="FFFFFF"/>
                <w:sz w:val="16"/>
              </w:rPr>
              <w:t>Q1 FY28</w:t>
            </w:r>
          </w:p>
        </w:tc>
      </w:tr>
      <w:tr>
        <w:tc>
          <w:tcPr>
            <w:tcW w:type="dxa" w:w="1440"/>
            <w:tcMar>
              <w:top w:w="80" w:type="dxa"/>
              <w:start w:w="100" w:type="dxa"/>
              <w:bottom w:w="80" w:type="dxa"/>
              <w:end w:w="100" w:type="dxa"/>
            </w:tcMar>
            <w:vAlign w:val="center"/>
            <w:shd w:fill="F7FAFC"/>
          </w:tcPr>
          <w:p>
            <w:pPr>
              <w:jc w:val="left"/>
            </w:pPr>
            <w:r>
              <w:rPr>
                <w:color w:val="1E293B"/>
                <w:sz w:val="16"/>
              </w:rPr>
              <w:t>TCS</w:t>
            </w:r>
          </w:p>
        </w:tc>
        <w:tc>
          <w:tcPr>
            <w:tcW w:type="dxa" w:w="1944"/>
            <w:tcMar>
              <w:top w:w="80" w:type="dxa"/>
              <w:start w:w="100" w:type="dxa"/>
              <w:bottom w:w="80" w:type="dxa"/>
              <w:end w:w="100" w:type="dxa"/>
            </w:tcMar>
            <w:vAlign w:val="center"/>
            <w:shd w:fill="F7FAFC"/>
          </w:tcPr>
          <w:p>
            <w:pPr>
              <w:jc w:val="center"/>
            </w:pPr>
            <w:r>
              <w:rPr>
                <w:color w:val="1E293B"/>
                <w:sz w:val="16"/>
              </w:rPr>
              <w:t>₹73,339</w:t>
            </w:r>
          </w:p>
        </w:tc>
        <w:tc>
          <w:tcPr>
            <w:tcW w:type="dxa" w:w="1944"/>
            <w:tcMar>
              <w:top w:w="80" w:type="dxa"/>
              <w:start w:w="100" w:type="dxa"/>
              <w:bottom w:w="80" w:type="dxa"/>
              <w:end w:w="100" w:type="dxa"/>
            </w:tcMar>
            <w:vAlign w:val="center"/>
            <w:shd w:fill="F7FAFC"/>
          </w:tcPr>
          <w:p>
            <w:pPr>
              <w:jc w:val="center"/>
            </w:pPr>
            <w:r>
              <w:rPr>
                <w:color w:val="1E293B"/>
                <w:sz w:val="16"/>
              </w:rPr>
              <w:t>₹74,414</w:t>
            </w:r>
          </w:p>
        </w:tc>
        <w:tc>
          <w:tcPr>
            <w:tcW w:type="dxa" w:w="1944"/>
            <w:tcMar>
              <w:top w:w="80" w:type="dxa"/>
              <w:start w:w="100" w:type="dxa"/>
              <w:bottom w:w="80" w:type="dxa"/>
              <w:end w:w="100" w:type="dxa"/>
            </w:tcMar>
            <w:vAlign w:val="center"/>
            <w:shd w:fill="F7FAFC"/>
          </w:tcPr>
          <w:p>
            <w:pPr>
              <w:jc w:val="center"/>
            </w:pPr>
            <w:r>
              <w:rPr>
                <w:color w:val="1E293B"/>
                <w:sz w:val="16"/>
              </w:rPr>
              <w:t>₹75,488</w:t>
            </w:r>
          </w:p>
        </w:tc>
        <w:tc>
          <w:tcPr>
            <w:tcW w:type="dxa" w:w="1944"/>
            <w:tcMar>
              <w:top w:w="80" w:type="dxa"/>
              <w:start w:w="100" w:type="dxa"/>
              <w:bottom w:w="80" w:type="dxa"/>
              <w:end w:w="100" w:type="dxa"/>
            </w:tcMar>
            <w:vAlign w:val="center"/>
            <w:shd w:fill="F7FAFC"/>
          </w:tcPr>
          <w:p>
            <w:pPr>
              <w:jc w:val="center"/>
            </w:pPr>
            <w:r>
              <w:rPr>
                <w:color w:val="1E293B"/>
                <w:sz w:val="16"/>
              </w:rPr>
              <w:t>₹76,563</w:t>
            </w:r>
          </w:p>
        </w:tc>
      </w:tr>
      <w:tr>
        <w:tc>
          <w:tcPr>
            <w:tcW w:type="dxa" w:w="1440"/>
            <w:tcMar>
              <w:top w:w="80" w:type="dxa"/>
              <w:start w:w="100" w:type="dxa"/>
              <w:bottom w:w="80" w:type="dxa"/>
              <w:end w:w="100" w:type="dxa"/>
            </w:tcMar>
            <w:vAlign w:val="center"/>
          </w:tcPr>
          <w:p>
            <w:pPr>
              <w:jc w:val="left"/>
            </w:pPr>
            <w:r>
              <w:rPr>
                <w:color w:val="1E293B"/>
                <w:sz w:val="16"/>
              </w:rPr>
              <w:t>Infosys</w:t>
            </w:r>
          </w:p>
        </w:tc>
        <w:tc>
          <w:tcPr>
            <w:tcW w:type="dxa" w:w="1944"/>
            <w:tcMar>
              <w:top w:w="80" w:type="dxa"/>
              <w:start w:w="100" w:type="dxa"/>
              <w:bottom w:w="80" w:type="dxa"/>
              <w:end w:w="100" w:type="dxa"/>
            </w:tcMar>
            <w:vAlign w:val="center"/>
          </w:tcPr>
          <w:p>
            <w:pPr>
              <w:jc w:val="center"/>
            </w:pPr>
            <w:r>
              <w:rPr>
                <w:color w:val="1E293B"/>
                <w:sz w:val="16"/>
              </w:rPr>
              <w:t>₹49,072</w:t>
            </w:r>
          </w:p>
        </w:tc>
        <w:tc>
          <w:tcPr>
            <w:tcW w:type="dxa" w:w="1944"/>
            <w:tcMar>
              <w:top w:w="80" w:type="dxa"/>
              <w:start w:w="100" w:type="dxa"/>
              <w:bottom w:w="80" w:type="dxa"/>
              <w:end w:w="100" w:type="dxa"/>
            </w:tcMar>
            <w:vAlign w:val="center"/>
          </w:tcPr>
          <w:p>
            <w:pPr>
              <w:jc w:val="center"/>
            </w:pPr>
            <w:r>
              <w:rPr>
                <w:color w:val="1E293B"/>
                <w:sz w:val="16"/>
              </w:rPr>
              <w:t>₹49,917</w:t>
            </w:r>
          </w:p>
        </w:tc>
        <w:tc>
          <w:tcPr>
            <w:tcW w:type="dxa" w:w="1944"/>
            <w:tcMar>
              <w:top w:w="80" w:type="dxa"/>
              <w:start w:w="100" w:type="dxa"/>
              <w:bottom w:w="80" w:type="dxa"/>
              <w:end w:w="100" w:type="dxa"/>
            </w:tcMar>
            <w:vAlign w:val="center"/>
          </w:tcPr>
          <w:p>
            <w:pPr>
              <w:jc w:val="center"/>
            </w:pPr>
            <w:r>
              <w:rPr>
                <w:color w:val="1E293B"/>
                <w:sz w:val="16"/>
              </w:rPr>
              <w:t>₹50,763</w:t>
            </w:r>
          </w:p>
        </w:tc>
        <w:tc>
          <w:tcPr>
            <w:tcW w:type="dxa" w:w="1944"/>
            <w:tcMar>
              <w:top w:w="80" w:type="dxa"/>
              <w:start w:w="100" w:type="dxa"/>
              <w:bottom w:w="80" w:type="dxa"/>
              <w:end w:w="100" w:type="dxa"/>
            </w:tcMar>
            <w:vAlign w:val="center"/>
          </w:tcPr>
          <w:p>
            <w:pPr>
              <w:jc w:val="center"/>
            </w:pPr>
            <w:r>
              <w:rPr>
                <w:color w:val="1E293B"/>
                <w:sz w:val="16"/>
              </w:rPr>
              <w:t>₹51,608</w:t>
            </w:r>
          </w:p>
        </w:tc>
      </w:tr>
      <w:tr>
        <w:tc>
          <w:tcPr>
            <w:tcW w:type="dxa" w:w="1440"/>
            <w:tcMar>
              <w:top w:w="80" w:type="dxa"/>
              <w:start w:w="100" w:type="dxa"/>
              <w:bottom w:w="80" w:type="dxa"/>
              <w:end w:w="100" w:type="dxa"/>
            </w:tcMar>
            <w:vAlign w:val="center"/>
            <w:shd w:fill="F7FAFC"/>
          </w:tcPr>
          <w:p>
            <w:pPr>
              <w:jc w:val="left"/>
            </w:pPr>
            <w:r>
              <w:rPr>
                <w:color w:val="1E293B"/>
                <w:sz w:val="16"/>
              </w:rPr>
              <w:t>HCLTech</w:t>
            </w:r>
          </w:p>
        </w:tc>
        <w:tc>
          <w:tcPr>
            <w:tcW w:type="dxa" w:w="1944"/>
            <w:tcMar>
              <w:top w:w="80" w:type="dxa"/>
              <w:start w:w="100" w:type="dxa"/>
              <w:bottom w:w="80" w:type="dxa"/>
              <w:end w:w="100" w:type="dxa"/>
            </w:tcMar>
            <w:vAlign w:val="center"/>
            <w:shd w:fill="F7FAFC"/>
          </w:tcPr>
          <w:p>
            <w:pPr>
              <w:jc w:val="center"/>
            </w:pPr>
            <w:r>
              <w:rPr>
                <w:color w:val="1E293B"/>
                <w:sz w:val="16"/>
              </w:rPr>
              <w:t>₹35,273</w:t>
            </w:r>
          </w:p>
        </w:tc>
        <w:tc>
          <w:tcPr>
            <w:tcW w:type="dxa" w:w="1944"/>
            <w:tcMar>
              <w:top w:w="80" w:type="dxa"/>
              <w:start w:w="100" w:type="dxa"/>
              <w:bottom w:w="80" w:type="dxa"/>
              <w:end w:w="100" w:type="dxa"/>
            </w:tcMar>
            <w:vAlign w:val="center"/>
            <w:shd w:fill="F7FAFC"/>
          </w:tcPr>
          <w:p>
            <w:pPr>
              <w:jc w:val="center"/>
            </w:pPr>
            <w:r>
              <w:rPr>
                <w:color w:val="1E293B"/>
                <w:sz w:val="16"/>
              </w:rPr>
              <w:t>₹35,963</w:t>
            </w:r>
          </w:p>
        </w:tc>
        <w:tc>
          <w:tcPr>
            <w:tcW w:type="dxa" w:w="1944"/>
            <w:tcMar>
              <w:top w:w="80" w:type="dxa"/>
              <w:start w:w="100" w:type="dxa"/>
              <w:bottom w:w="80" w:type="dxa"/>
              <w:end w:w="100" w:type="dxa"/>
            </w:tcMar>
            <w:vAlign w:val="center"/>
            <w:shd w:fill="F7FAFC"/>
          </w:tcPr>
          <w:p>
            <w:pPr>
              <w:jc w:val="center"/>
            </w:pPr>
            <w:r>
              <w:rPr>
                <w:color w:val="1E293B"/>
                <w:sz w:val="16"/>
              </w:rPr>
              <w:t>₹36,653</w:t>
            </w:r>
          </w:p>
        </w:tc>
        <w:tc>
          <w:tcPr>
            <w:tcW w:type="dxa" w:w="1944"/>
            <w:tcMar>
              <w:top w:w="80" w:type="dxa"/>
              <w:start w:w="100" w:type="dxa"/>
              <w:bottom w:w="80" w:type="dxa"/>
              <w:end w:w="100" w:type="dxa"/>
            </w:tcMar>
            <w:vAlign w:val="center"/>
            <w:shd w:fill="F7FAFC"/>
          </w:tcPr>
          <w:p>
            <w:pPr>
              <w:jc w:val="center"/>
            </w:pPr>
            <w:r>
              <w:rPr>
                <w:color w:val="1E293B"/>
                <w:sz w:val="16"/>
              </w:rPr>
              <w:t>₹37,343</w:t>
            </w:r>
          </w:p>
        </w:tc>
      </w:tr>
      <w:tr>
        <w:tc>
          <w:tcPr>
            <w:tcW w:type="dxa" w:w="1440"/>
            <w:tcMar>
              <w:top w:w="80" w:type="dxa"/>
              <w:start w:w="100" w:type="dxa"/>
              <w:bottom w:w="80" w:type="dxa"/>
              <w:end w:w="100" w:type="dxa"/>
            </w:tcMar>
            <w:vAlign w:val="center"/>
          </w:tcPr>
          <w:p>
            <w:pPr>
              <w:jc w:val="left"/>
            </w:pPr>
            <w:r>
              <w:rPr>
                <w:color w:val="1E293B"/>
                <w:sz w:val="16"/>
              </w:rPr>
              <w:t>Wipro</w:t>
            </w:r>
          </w:p>
        </w:tc>
        <w:tc>
          <w:tcPr>
            <w:tcW w:type="dxa" w:w="1944"/>
            <w:tcMar>
              <w:top w:w="80" w:type="dxa"/>
              <w:start w:w="100" w:type="dxa"/>
              <w:bottom w:w="80" w:type="dxa"/>
              <w:end w:w="100" w:type="dxa"/>
            </w:tcMar>
            <w:vAlign w:val="center"/>
          </w:tcPr>
          <w:p>
            <w:pPr>
              <w:jc w:val="center"/>
            </w:pPr>
            <w:r>
              <w:rPr>
                <w:color w:val="1E293B"/>
                <w:sz w:val="16"/>
              </w:rPr>
              <w:t>₹24,479</w:t>
            </w:r>
          </w:p>
        </w:tc>
        <w:tc>
          <w:tcPr>
            <w:tcW w:type="dxa" w:w="1944"/>
            <w:tcMar>
              <w:top w:w="80" w:type="dxa"/>
              <w:start w:w="100" w:type="dxa"/>
              <w:bottom w:w="80" w:type="dxa"/>
              <w:end w:w="100" w:type="dxa"/>
            </w:tcMar>
            <w:vAlign w:val="center"/>
          </w:tcPr>
          <w:p>
            <w:pPr>
              <w:jc w:val="center"/>
            </w:pPr>
            <w:r>
              <w:rPr>
                <w:color w:val="1E293B"/>
                <w:sz w:val="16"/>
              </w:rPr>
              <w:t>₹24,479</w:t>
            </w:r>
          </w:p>
        </w:tc>
        <w:tc>
          <w:tcPr>
            <w:tcW w:type="dxa" w:w="1944"/>
            <w:tcMar>
              <w:top w:w="80" w:type="dxa"/>
              <w:start w:w="100" w:type="dxa"/>
              <w:bottom w:w="80" w:type="dxa"/>
              <w:end w:w="100" w:type="dxa"/>
            </w:tcMar>
            <w:vAlign w:val="center"/>
          </w:tcPr>
          <w:p>
            <w:pPr>
              <w:jc w:val="center"/>
            </w:pPr>
            <w:r>
              <w:rPr>
                <w:color w:val="1E293B"/>
                <w:sz w:val="16"/>
              </w:rPr>
              <w:t>₹24,479</w:t>
            </w:r>
          </w:p>
        </w:tc>
        <w:tc>
          <w:tcPr>
            <w:tcW w:type="dxa" w:w="1944"/>
            <w:tcMar>
              <w:top w:w="80" w:type="dxa"/>
              <w:start w:w="100" w:type="dxa"/>
              <w:bottom w:w="80" w:type="dxa"/>
              <w:end w:w="100" w:type="dxa"/>
            </w:tcMar>
            <w:vAlign w:val="center"/>
          </w:tcPr>
          <w:p>
            <w:pPr>
              <w:jc w:val="center"/>
            </w:pPr>
            <w:r>
              <w:rPr>
                <w:color w:val="1E293B"/>
                <w:sz w:val="16"/>
              </w:rPr>
              <w:t>₹24,479</w:t>
            </w:r>
          </w:p>
        </w:tc>
      </w:tr>
    </w:tbl>
    <w:p>
      <w:pPr>
        <w:pStyle w:val="Heading2"/>
        <w:spacing w:before="140" w:after="80"/>
      </w:pPr>
      <w:r>
        <w:rPr>
          <w:b/>
          <w:color w:val="007F86"/>
        </w:rPr>
        <w:t>TCS — revenue forecast</w:t>
      </w:r>
    </w:p>
    <w:p>
      <w:r>
        <w:drawing>
          <wp:inline xmlns:a="http://schemas.openxmlformats.org/drawingml/2006/main" xmlns:pic="http://schemas.openxmlformats.org/drawingml/2006/picture">
            <wp:extent cx="5806440" cy="3065780"/>
            <wp:docPr id="2" name="Picture 2"/>
            <wp:cNvGraphicFramePr>
              <a:graphicFrameLocks noChangeAspect="1"/>
            </wp:cNvGraphicFramePr>
            <a:graphic>
              <a:graphicData uri="http://schemas.openxmlformats.org/drawingml/2006/picture">
                <pic:pic>
                  <pic:nvPicPr>
                    <pic:cNvPr id="0" name="revenue_forecast_TCS.png"/>
                    <pic:cNvPicPr/>
                  </pic:nvPicPr>
                  <pic:blipFill>
                    <a:blip r:embed="rId12"/>
                    <a:stretch>
                      <a:fillRect/>
                    </a:stretch>
                  </pic:blipFill>
                  <pic:spPr>
                    <a:xfrm>
                      <a:off x="0" y="0"/>
                      <a:ext cx="5806440" cy="3065780"/>
                    </a:xfrm>
                    <a:prstGeom prst="rect"/>
                  </pic:spPr>
                </pic:pic>
              </a:graphicData>
            </a:graphic>
          </wp:inline>
        </w:drawing>
      </w:r>
    </w:p>
    <w:p>
      <w:pPr>
        <w:jc w:val="center"/>
      </w:pPr>
      <w:r>
        <w:rPr>
          <w:i/>
          <w:color w:val="6B7280"/>
          <w:sz w:val="17"/>
        </w:rPr>
        <w:t>Figure. TCS revenue actuals and forecast using ARIMA(1,1,0).</w:t>
      </w:r>
    </w:p>
    <w:p>
      <w:pPr>
        <w:spacing w:after="100" w:line="254" w:lineRule="auto"/>
      </w:pPr>
      <w:r>
        <w:rPr>
          <w:color w:val="1E293B"/>
          <w:sz w:val="19"/>
        </w:rPr>
        <w:t>The selected ARIMA(1,1,0) model projects revenue at ₹73,339 crore in Q2 FY27, ₹74,414 crore in Q3 FY27, ₹75,488 crore in Q4 FY27 and ₹76,563 crore in Q1 FY28. These are point estimates and should be read with the model-risk discussion in Section 8.</w:t>
      </w:r>
    </w:p>
    <w:p>
      <w:pPr>
        <w:pStyle w:val="Heading2"/>
        <w:spacing w:before="140" w:after="80"/>
      </w:pPr>
      <w:r>
        <w:rPr>
          <w:b/>
          <w:color w:val="007F86"/>
        </w:rPr>
        <w:t>Infosys — revenue forecast</w:t>
      </w:r>
    </w:p>
    <w:p>
      <w:r>
        <w:drawing>
          <wp:inline xmlns:a="http://schemas.openxmlformats.org/drawingml/2006/main" xmlns:pic="http://schemas.openxmlformats.org/drawingml/2006/picture">
            <wp:extent cx="5806440" cy="3065780"/>
            <wp:docPr id="3" name="Picture 3"/>
            <wp:cNvGraphicFramePr>
              <a:graphicFrameLocks noChangeAspect="1"/>
            </wp:cNvGraphicFramePr>
            <a:graphic>
              <a:graphicData uri="http://schemas.openxmlformats.org/drawingml/2006/picture">
                <pic:pic>
                  <pic:nvPicPr>
                    <pic:cNvPr id="0" name="revenue_forecast_Infosys.png"/>
                    <pic:cNvPicPr/>
                  </pic:nvPicPr>
                  <pic:blipFill>
                    <a:blip r:embed="rId13"/>
                    <a:stretch>
                      <a:fillRect/>
                    </a:stretch>
                  </pic:blipFill>
                  <pic:spPr>
                    <a:xfrm>
                      <a:off x="0" y="0"/>
                      <a:ext cx="5806440" cy="3065780"/>
                    </a:xfrm>
                    <a:prstGeom prst="rect"/>
                  </pic:spPr>
                </pic:pic>
              </a:graphicData>
            </a:graphic>
          </wp:inline>
        </w:drawing>
      </w:r>
    </w:p>
    <w:p>
      <w:pPr>
        <w:jc w:val="center"/>
      </w:pPr>
      <w:r>
        <w:rPr>
          <w:i/>
          <w:color w:val="6B7280"/>
          <w:sz w:val="17"/>
        </w:rPr>
        <w:t>Figure. Infosys revenue actuals and forecast using ARIMA(1,1,0).</w:t>
      </w:r>
    </w:p>
    <w:p>
      <w:pPr>
        <w:spacing w:after="100" w:line="254" w:lineRule="auto"/>
      </w:pPr>
      <w:r>
        <w:rPr>
          <w:color w:val="1E293B"/>
          <w:sz w:val="19"/>
        </w:rPr>
        <w:t>The selected ARIMA(1,1,0) model projects revenue at ₹49,072 crore in Q2 FY27, ₹49,917 crore in Q3 FY27, ₹50,763 crore in Q4 FY27 and ₹51,608 crore in Q1 FY28. These are point estimates and should be read with the model-risk discussion in Section 8.</w:t>
      </w:r>
    </w:p>
    <w:p>
      <w:pPr>
        <w:pStyle w:val="Heading2"/>
        <w:spacing w:before="140" w:after="80"/>
      </w:pPr>
      <w:r>
        <w:rPr>
          <w:b/>
          <w:color w:val="007F86"/>
        </w:rPr>
        <w:t>HCLTech — revenue forecast</w:t>
      </w:r>
    </w:p>
    <w:p>
      <w:r>
        <w:drawing>
          <wp:inline xmlns:a="http://schemas.openxmlformats.org/drawingml/2006/main" xmlns:pic="http://schemas.openxmlformats.org/drawingml/2006/picture">
            <wp:extent cx="5806440" cy="3065780"/>
            <wp:docPr id="4" name="Picture 4"/>
            <wp:cNvGraphicFramePr>
              <a:graphicFrameLocks noChangeAspect="1"/>
            </wp:cNvGraphicFramePr>
            <a:graphic>
              <a:graphicData uri="http://schemas.openxmlformats.org/drawingml/2006/picture">
                <pic:pic>
                  <pic:nvPicPr>
                    <pic:cNvPr id="0" name="revenue_forecast_HCLTech.png"/>
                    <pic:cNvPicPr/>
                  </pic:nvPicPr>
                  <pic:blipFill>
                    <a:blip r:embed="rId14"/>
                    <a:stretch>
                      <a:fillRect/>
                    </a:stretch>
                  </pic:blipFill>
                  <pic:spPr>
                    <a:xfrm>
                      <a:off x="0" y="0"/>
                      <a:ext cx="5806440" cy="3065780"/>
                    </a:xfrm>
                    <a:prstGeom prst="rect"/>
                  </pic:spPr>
                </pic:pic>
              </a:graphicData>
            </a:graphic>
          </wp:inline>
        </w:drawing>
      </w:r>
    </w:p>
    <w:p>
      <w:pPr>
        <w:jc w:val="center"/>
      </w:pPr>
      <w:r>
        <w:rPr>
          <w:i/>
          <w:color w:val="6B7280"/>
          <w:sz w:val="17"/>
        </w:rPr>
        <w:t>Figure. HCLTech revenue actuals and forecast using ARIMA(1,1,0).</w:t>
      </w:r>
    </w:p>
    <w:p>
      <w:pPr>
        <w:spacing w:after="100" w:line="254" w:lineRule="auto"/>
      </w:pPr>
      <w:r>
        <w:rPr>
          <w:color w:val="1E293B"/>
          <w:sz w:val="19"/>
        </w:rPr>
        <w:t>The selected ARIMA(1,1,0) model projects revenue at ₹35,273 crore in Q2 FY27, ₹35,963 crore in Q3 FY27, ₹36,653 crore in Q4 FY27 and ₹37,343 crore in Q1 FY28. These are point estimates and should be read with the model-risk discussion in Section 8.</w:t>
      </w:r>
    </w:p>
    <w:p>
      <w:pPr>
        <w:pStyle w:val="Heading2"/>
        <w:spacing w:before="140" w:after="80"/>
      </w:pPr>
      <w:r>
        <w:rPr>
          <w:b/>
          <w:color w:val="007F86"/>
        </w:rPr>
        <w:t>Wipro — revenue forecast</w:t>
      </w:r>
    </w:p>
    <w:p>
      <w:r>
        <w:drawing>
          <wp:inline xmlns:a="http://schemas.openxmlformats.org/drawingml/2006/main" xmlns:pic="http://schemas.openxmlformats.org/drawingml/2006/picture">
            <wp:extent cx="5806440" cy="3065780"/>
            <wp:docPr id="5" name="Picture 5"/>
            <wp:cNvGraphicFramePr>
              <a:graphicFrameLocks noChangeAspect="1"/>
            </wp:cNvGraphicFramePr>
            <a:graphic>
              <a:graphicData uri="http://schemas.openxmlformats.org/drawingml/2006/picture">
                <pic:pic>
                  <pic:nvPicPr>
                    <pic:cNvPr id="0" name="revenue_forecast_Wipro.png"/>
                    <pic:cNvPicPr/>
                  </pic:nvPicPr>
                  <pic:blipFill>
                    <a:blip r:embed="rId15"/>
                    <a:stretch>
                      <a:fillRect/>
                    </a:stretch>
                  </pic:blipFill>
                  <pic:spPr>
                    <a:xfrm>
                      <a:off x="0" y="0"/>
                      <a:ext cx="5806440" cy="3065780"/>
                    </a:xfrm>
                    <a:prstGeom prst="rect"/>
                  </pic:spPr>
                </pic:pic>
              </a:graphicData>
            </a:graphic>
          </wp:inline>
        </w:drawing>
      </w:r>
    </w:p>
    <w:p>
      <w:pPr>
        <w:jc w:val="center"/>
      </w:pPr>
      <w:r>
        <w:rPr>
          <w:i/>
          <w:color w:val="6B7280"/>
          <w:sz w:val="17"/>
        </w:rPr>
        <w:t>Figure. Wipro revenue actuals and forecast using Naive.</w:t>
      </w:r>
    </w:p>
    <w:p>
      <w:pPr>
        <w:spacing w:after="100" w:line="254" w:lineRule="auto"/>
      </w:pPr>
      <w:r>
        <w:rPr>
          <w:color w:val="1E293B"/>
          <w:sz w:val="19"/>
        </w:rPr>
        <w:t>The selected Naive model projects revenue at ₹24,479 crore in Q2 FY27, ₹24,479 crore in Q3 FY27, ₹24,479 crore in Q4 FY27 and ₹24,479 crore in Q1 FY28. These are point estimates and should be read with the model-risk discussion in Section 8.</w:t>
      </w:r>
    </w:p>
    <w:p>
      <w:pPr>
        <w:pStyle w:val="Heading1"/>
        <w:spacing w:before="140" w:after="80"/>
      </w:pPr>
      <w:r>
        <w:rPr>
          <w:b/>
          <w:color w:val="17324D"/>
        </w:rPr>
        <w:t>7. Operating Margin Forecasts</w:t>
      </w:r>
    </w:p>
    <w:p>
      <w:r>
        <w:drawing>
          <wp:inline xmlns:a="http://schemas.openxmlformats.org/drawingml/2006/main" xmlns:pic="http://schemas.openxmlformats.org/drawingml/2006/picture">
            <wp:extent cx="6080760" cy="3233259"/>
            <wp:docPr id="6" name="Picture 6"/>
            <wp:cNvGraphicFramePr>
              <a:graphicFrameLocks noChangeAspect="1"/>
            </wp:cNvGraphicFramePr>
            <a:graphic>
              <a:graphicData uri="http://schemas.openxmlformats.org/drawingml/2006/picture">
                <pic:pic>
                  <pic:nvPicPr>
                    <pic:cNvPr id="0" name="combined_margin_forecast.png"/>
                    <pic:cNvPicPr/>
                  </pic:nvPicPr>
                  <pic:blipFill>
                    <a:blip r:embed="rId16"/>
                    <a:stretch>
                      <a:fillRect/>
                    </a:stretch>
                  </pic:blipFill>
                  <pic:spPr>
                    <a:xfrm>
                      <a:off x="0" y="0"/>
                      <a:ext cx="6080760" cy="3233259"/>
                    </a:xfrm>
                    <a:prstGeom prst="rect"/>
                  </pic:spPr>
                </pic:pic>
              </a:graphicData>
            </a:graphic>
          </wp:inline>
        </w:drawing>
      </w:r>
    </w:p>
    <w:p>
      <w:pPr>
        <w:jc w:val="center"/>
      </w:pPr>
      <w:r>
        <w:rPr>
          <w:i/>
          <w:color w:val="6B7280"/>
          <w:sz w:val="17"/>
        </w:rPr>
        <w:t>Figure 6. Standardized-panel operating margin actuals through Q1 FY27 and four-quarter model forecasts.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24D"/>
            <w:tcMar>
              <w:top w:w="80" w:type="dxa"/>
              <w:start w:w="100" w:type="dxa"/>
              <w:bottom w:w="80" w:type="dxa"/>
              <w:end w:w="100" w:type="dxa"/>
            </w:tcMar>
          </w:tcPr>
          <w:p>
            <w:pPr>
              <w:jc w:val="center"/>
            </w:pPr>
            <w:r>
              <w:rPr>
                <w:b/>
                <w:color w:val="FFFFFF"/>
                <w:sz w:val="16"/>
              </w:rPr>
              <w:t>Company</w:t>
            </w:r>
          </w:p>
        </w:tc>
        <w:tc>
          <w:tcPr>
            <w:tcW w:type="dxa" w:w="1944"/>
            <w:shd w:fill="17324D"/>
            <w:tcMar>
              <w:top w:w="80" w:type="dxa"/>
              <w:start w:w="100" w:type="dxa"/>
              <w:bottom w:w="80" w:type="dxa"/>
              <w:end w:w="100" w:type="dxa"/>
            </w:tcMar>
          </w:tcPr>
          <w:p>
            <w:pPr>
              <w:jc w:val="center"/>
            </w:pPr>
            <w:r>
              <w:rPr>
                <w:b/>
                <w:color w:val="FFFFFF"/>
                <w:sz w:val="16"/>
              </w:rPr>
              <w:t>Q2 FY27</w:t>
            </w:r>
          </w:p>
        </w:tc>
        <w:tc>
          <w:tcPr>
            <w:tcW w:type="dxa" w:w="1944"/>
            <w:shd w:fill="17324D"/>
            <w:tcMar>
              <w:top w:w="80" w:type="dxa"/>
              <w:start w:w="100" w:type="dxa"/>
              <w:bottom w:w="80" w:type="dxa"/>
              <w:end w:w="100" w:type="dxa"/>
            </w:tcMar>
          </w:tcPr>
          <w:p>
            <w:pPr>
              <w:jc w:val="center"/>
            </w:pPr>
            <w:r>
              <w:rPr>
                <w:b/>
                <w:color w:val="FFFFFF"/>
                <w:sz w:val="16"/>
              </w:rPr>
              <w:t>Q3 FY27</w:t>
            </w:r>
          </w:p>
        </w:tc>
        <w:tc>
          <w:tcPr>
            <w:tcW w:type="dxa" w:w="1944"/>
            <w:shd w:fill="17324D"/>
            <w:tcMar>
              <w:top w:w="80" w:type="dxa"/>
              <w:start w:w="100" w:type="dxa"/>
              <w:bottom w:w="80" w:type="dxa"/>
              <w:end w:w="100" w:type="dxa"/>
            </w:tcMar>
          </w:tcPr>
          <w:p>
            <w:pPr>
              <w:jc w:val="center"/>
            </w:pPr>
            <w:r>
              <w:rPr>
                <w:b/>
                <w:color w:val="FFFFFF"/>
                <w:sz w:val="16"/>
              </w:rPr>
              <w:t>Q4 FY27</w:t>
            </w:r>
          </w:p>
        </w:tc>
        <w:tc>
          <w:tcPr>
            <w:tcW w:type="dxa" w:w="1944"/>
            <w:shd w:fill="17324D"/>
            <w:tcMar>
              <w:top w:w="80" w:type="dxa"/>
              <w:start w:w="100" w:type="dxa"/>
              <w:bottom w:w="80" w:type="dxa"/>
              <w:end w:w="100" w:type="dxa"/>
            </w:tcMar>
          </w:tcPr>
          <w:p>
            <w:pPr>
              <w:jc w:val="center"/>
            </w:pPr>
            <w:r>
              <w:rPr>
                <w:b/>
                <w:color w:val="FFFFFF"/>
                <w:sz w:val="16"/>
              </w:rPr>
              <w:t>Q1 FY28</w:t>
            </w:r>
          </w:p>
        </w:tc>
      </w:tr>
      <w:tr>
        <w:tc>
          <w:tcPr>
            <w:tcW w:type="dxa" w:w="1440"/>
            <w:tcMar>
              <w:top w:w="80" w:type="dxa"/>
              <w:start w:w="100" w:type="dxa"/>
              <w:bottom w:w="80" w:type="dxa"/>
              <w:end w:w="100" w:type="dxa"/>
            </w:tcMar>
            <w:vAlign w:val="center"/>
            <w:shd w:fill="F7FAFC"/>
          </w:tcPr>
          <w:p>
            <w:pPr>
              <w:jc w:val="left"/>
            </w:pPr>
            <w:r>
              <w:rPr>
                <w:color w:val="1E293B"/>
                <w:sz w:val="16"/>
              </w:rPr>
              <w:t>TCS</w:t>
            </w:r>
          </w:p>
        </w:tc>
        <w:tc>
          <w:tcPr>
            <w:tcW w:type="dxa" w:w="1944"/>
            <w:tcMar>
              <w:top w:w="80" w:type="dxa"/>
              <w:start w:w="100" w:type="dxa"/>
              <w:bottom w:w="80" w:type="dxa"/>
              <w:end w:w="100" w:type="dxa"/>
            </w:tcMar>
            <w:vAlign w:val="center"/>
            <w:shd w:fill="F7FAFC"/>
          </w:tcPr>
          <w:p>
            <w:pPr>
              <w:jc w:val="center"/>
            </w:pPr>
            <w:r>
              <w:rPr>
                <w:color w:val="1E293B"/>
                <w:sz w:val="16"/>
              </w:rPr>
              <w:t>25.67%</w:t>
            </w:r>
          </w:p>
        </w:tc>
        <w:tc>
          <w:tcPr>
            <w:tcW w:type="dxa" w:w="1944"/>
            <w:tcMar>
              <w:top w:w="80" w:type="dxa"/>
              <w:start w:w="100" w:type="dxa"/>
              <w:bottom w:w="80" w:type="dxa"/>
              <w:end w:w="100" w:type="dxa"/>
            </w:tcMar>
            <w:vAlign w:val="center"/>
            <w:shd w:fill="F7FAFC"/>
          </w:tcPr>
          <w:p>
            <w:pPr>
              <w:jc w:val="center"/>
            </w:pPr>
            <w:r>
              <w:rPr>
                <w:color w:val="1E293B"/>
                <w:sz w:val="16"/>
              </w:rPr>
              <w:t>25.67%</w:t>
            </w:r>
          </w:p>
        </w:tc>
        <w:tc>
          <w:tcPr>
            <w:tcW w:type="dxa" w:w="1944"/>
            <w:tcMar>
              <w:top w:w="80" w:type="dxa"/>
              <w:start w:w="100" w:type="dxa"/>
              <w:bottom w:w="80" w:type="dxa"/>
              <w:end w:w="100" w:type="dxa"/>
            </w:tcMar>
            <w:vAlign w:val="center"/>
            <w:shd w:fill="F7FAFC"/>
          </w:tcPr>
          <w:p>
            <w:pPr>
              <w:jc w:val="center"/>
            </w:pPr>
            <w:r>
              <w:rPr>
                <w:color w:val="1E293B"/>
                <w:sz w:val="16"/>
              </w:rPr>
              <w:t>25.67%</w:t>
            </w:r>
          </w:p>
        </w:tc>
        <w:tc>
          <w:tcPr>
            <w:tcW w:type="dxa" w:w="1944"/>
            <w:tcMar>
              <w:top w:w="80" w:type="dxa"/>
              <w:start w:w="100" w:type="dxa"/>
              <w:bottom w:w="80" w:type="dxa"/>
              <w:end w:w="100" w:type="dxa"/>
            </w:tcMar>
            <w:vAlign w:val="center"/>
            <w:shd w:fill="F7FAFC"/>
          </w:tcPr>
          <w:p>
            <w:pPr>
              <w:jc w:val="center"/>
            </w:pPr>
            <w:r>
              <w:rPr>
                <w:color w:val="1E293B"/>
                <w:sz w:val="16"/>
              </w:rPr>
              <w:t>25.67%</w:t>
            </w:r>
          </w:p>
        </w:tc>
      </w:tr>
      <w:tr>
        <w:tc>
          <w:tcPr>
            <w:tcW w:type="dxa" w:w="1440"/>
            <w:tcMar>
              <w:top w:w="80" w:type="dxa"/>
              <w:start w:w="100" w:type="dxa"/>
              <w:bottom w:w="80" w:type="dxa"/>
              <w:end w:w="100" w:type="dxa"/>
            </w:tcMar>
            <w:vAlign w:val="center"/>
          </w:tcPr>
          <w:p>
            <w:pPr>
              <w:jc w:val="left"/>
            </w:pPr>
            <w:r>
              <w:rPr>
                <w:color w:val="1E293B"/>
                <w:sz w:val="16"/>
              </w:rPr>
              <w:t>Infosys</w:t>
            </w:r>
          </w:p>
        </w:tc>
        <w:tc>
          <w:tcPr>
            <w:tcW w:type="dxa" w:w="1944"/>
            <w:tcMar>
              <w:top w:w="80" w:type="dxa"/>
              <w:start w:w="100" w:type="dxa"/>
              <w:bottom w:w="80" w:type="dxa"/>
              <w:end w:w="100" w:type="dxa"/>
            </w:tcMar>
            <w:vAlign w:val="center"/>
          </w:tcPr>
          <w:p>
            <w:pPr>
              <w:jc w:val="center"/>
            </w:pPr>
            <w:r>
              <w:rPr>
                <w:color w:val="1E293B"/>
                <w:sz w:val="16"/>
              </w:rPr>
              <w:t>23.66%</w:t>
            </w:r>
          </w:p>
        </w:tc>
        <w:tc>
          <w:tcPr>
            <w:tcW w:type="dxa" w:w="1944"/>
            <w:tcMar>
              <w:top w:w="80" w:type="dxa"/>
              <w:start w:w="100" w:type="dxa"/>
              <w:bottom w:w="80" w:type="dxa"/>
              <w:end w:w="100" w:type="dxa"/>
            </w:tcMar>
            <w:vAlign w:val="center"/>
          </w:tcPr>
          <w:p>
            <w:pPr>
              <w:jc w:val="center"/>
            </w:pPr>
            <w:r>
              <w:rPr>
                <w:color w:val="1E293B"/>
                <w:sz w:val="16"/>
              </w:rPr>
              <w:t>23.66%</w:t>
            </w:r>
          </w:p>
        </w:tc>
        <w:tc>
          <w:tcPr>
            <w:tcW w:type="dxa" w:w="1944"/>
            <w:tcMar>
              <w:top w:w="80" w:type="dxa"/>
              <w:start w:w="100" w:type="dxa"/>
              <w:bottom w:w="80" w:type="dxa"/>
              <w:end w:w="100" w:type="dxa"/>
            </w:tcMar>
            <w:vAlign w:val="center"/>
          </w:tcPr>
          <w:p>
            <w:pPr>
              <w:jc w:val="center"/>
            </w:pPr>
            <w:r>
              <w:rPr>
                <w:color w:val="1E293B"/>
                <w:sz w:val="16"/>
              </w:rPr>
              <w:t>23.66%</w:t>
            </w:r>
          </w:p>
        </w:tc>
        <w:tc>
          <w:tcPr>
            <w:tcW w:type="dxa" w:w="1944"/>
            <w:tcMar>
              <w:top w:w="80" w:type="dxa"/>
              <w:start w:w="100" w:type="dxa"/>
              <w:bottom w:w="80" w:type="dxa"/>
              <w:end w:w="100" w:type="dxa"/>
            </w:tcMar>
            <w:vAlign w:val="center"/>
          </w:tcPr>
          <w:p>
            <w:pPr>
              <w:jc w:val="center"/>
            </w:pPr>
            <w:r>
              <w:rPr>
                <w:color w:val="1E293B"/>
                <w:sz w:val="16"/>
              </w:rPr>
              <w:t>23.66%</w:t>
            </w:r>
          </w:p>
        </w:tc>
      </w:tr>
      <w:tr>
        <w:tc>
          <w:tcPr>
            <w:tcW w:type="dxa" w:w="1440"/>
            <w:tcMar>
              <w:top w:w="80" w:type="dxa"/>
              <w:start w:w="100" w:type="dxa"/>
              <w:bottom w:w="80" w:type="dxa"/>
              <w:end w:w="100" w:type="dxa"/>
            </w:tcMar>
            <w:vAlign w:val="center"/>
            <w:shd w:fill="F7FAFC"/>
          </w:tcPr>
          <w:p>
            <w:pPr>
              <w:jc w:val="left"/>
            </w:pPr>
            <w:r>
              <w:rPr>
                <w:color w:val="1E293B"/>
                <w:sz w:val="16"/>
              </w:rPr>
              <w:t>HCLTech</w:t>
            </w:r>
          </w:p>
        </w:tc>
        <w:tc>
          <w:tcPr>
            <w:tcW w:type="dxa" w:w="1944"/>
            <w:tcMar>
              <w:top w:w="80" w:type="dxa"/>
              <w:start w:w="100" w:type="dxa"/>
              <w:bottom w:w="80" w:type="dxa"/>
              <w:end w:w="100" w:type="dxa"/>
            </w:tcMar>
            <w:vAlign w:val="center"/>
            <w:shd w:fill="F7FAFC"/>
          </w:tcPr>
          <w:p>
            <w:pPr>
              <w:jc w:val="center"/>
            </w:pPr>
            <w:r>
              <w:rPr>
                <w:color w:val="1E293B"/>
                <w:sz w:val="16"/>
              </w:rPr>
              <w:t>19.82%</w:t>
            </w:r>
          </w:p>
        </w:tc>
        <w:tc>
          <w:tcPr>
            <w:tcW w:type="dxa" w:w="1944"/>
            <w:tcMar>
              <w:top w:w="80" w:type="dxa"/>
              <w:start w:w="100" w:type="dxa"/>
              <w:bottom w:w="80" w:type="dxa"/>
              <w:end w:w="100" w:type="dxa"/>
            </w:tcMar>
            <w:vAlign w:val="center"/>
            <w:shd w:fill="F7FAFC"/>
          </w:tcPr>
          <w:p>
            <w:pPr>
              <w:jc w:val="center"/>
            </w:pPr>
            <w:r>
              <w:rPr>
                <w:color w:val="1E293B"/>
                <w:sz w:val="16"/>
              </w:rPr>
              <w:t>19.58%</w:t>
            </w:r>
          </w:p>
        </w:tc>
        <w:tc>
          <w:tcPr>
            <w:tcW w:type="dxa" w:w="1944"/>
            <w:tcMar>
              <w:top w:w="80" w:type="dxa"/>
              <w:start w:w="100" w:type="dxa"/>
              <w:bottom w:w="80" w:type="dxa"/>
              <w:end w:w="100" w:type="dxa"/>
            </w:tcMar>
            <w:vAlign w:val="center"/>
            <w:shd w:fill="F7FAFC"/>
          </w:tcPr>
          <w:p>
            <w:pPr>
              <w:jc w:val="center"/>
            </w:pPr>
            <w:r>
              <w:rPr>
                <w:color w:val="1E293B"/>
                <w:sz w:val="16"/>
              </w:rPr>
              <w:t>19.34%</w:t>
            </w:r>
          </w:p>
        </w:tc>
        <w:tc>
          <w:tcPr>
            <w:tcW w:type="dxa" w:w="1944"/>
            <w:tcMar>
              <w:top w:w="80" w:type="dxa"/>
              <w:start w:w="100" w:type="dxa"/>
              <w:bottom w:w="80" w:type="dxa"/>
              <w:end w:w="100" w:type="dxa"/>
            </w:tcMar>
            <w:vAlign w:val="center"/>
            <w:shd w:fill="F7FAFC"/>
          </w:tcPr>
          <w:p>
            <w:pPr>
              <w:jc w:val="center"/>
            </w:pPr>
            <w:r>
              <w:rPr>
                <w:color w:val="1E293B"/>
                <w:sz w:val="16"/>
              </w:rPr>
              <w:t>19.10%</w:t>
            </w:r>
          </w:p>
        </w:tc>
      </w:tr>
      <w:tr>
        <w:tc>
          <w:tcPr>
            <w:tcW w:type="dxa" w:w="1440"/>
            <w:tcMar>
              <w:top w:w="80" w:type="dxa"/>
              <w:start w:w="100" w:type="dxa"/>
              <w:bottom w:w="80" w:type="dxa"/>
              <w:end w:w="100" w:type="dxa"/>
            </w:tcMar>
            <w:vAlign w:val="center"/>
          </w:tcPr>
          <w:p>
            <w:pPr>
              <w:jc w:val="left"/>
            </w:pPr>
            <w:r>
              <w:rPr>
                <w:color w:val="1E293B"/>
                <w:sz w:val="16"/>
              </w:rPr>
              <w:t>Wipro</w:t>
            </w:r>
          </w:p>
        </w:tc>
        <w:tc>
          <w:tcPr>
            <w:tcW w:type="dxa" w:w="1944"/>
            <w:tcMar>
              <w:top w:w="80" w:type="dxa"/>
              <w:start w:w="100" w:type="dxa"/>
              <w:bottom w:w="80" w:type="dxa"/>
              <w:end w:w="100" w:type="dxa"/>
            </w:tcMar>
            <w:vAlign w:val="center"/>
          </w:tcPr>
          <w:p>
            <w:pPr>
              <w:jc w:val="center"/>
            </w:pPr>
            <w:r>
              <w:rPr>
                <w:color w:val="1E293B"/>
                <w:sz w:val="16"/>
              </w:rPr>
              <w:t>18.93%</w:t>
            </w:r>
          </w:p>
        </w:tc>
        <w:tc>
          <w:tcPr>
            <w:tcW w:type="dxa" w:w="1944"/>
            <w:tcMar>
              <w:top w:w="80" w:type="dxa"/>
              <w:start w:w="100" w:type="dxa"/>
              <w:bottom w:w="80" w:type="dxa"/>
              <w:end w:w="100" w:type="dxa"/>
            </w:tcMar>
            <w:vAlign w:val="center"/>
          </w:tcPr>
          <w:p>
            <w:pPr>
              <w:jc w:val="center"/>
            </w:pPr>
            <w:r>
              <w:rPr>
                <w:color w:val="1E293B"/>
                <w:sz w:val="16"/>
              </w:rPr>
              <w:t>18.93%</w:t>
            </w:r>
          </w:p>
        </w:tc>
        <w:tc>
          <w:tcPr>
            <w:tcW w:type="dxa" w:w="1944"/>
            <w:tcMar>
              <w:top w:w="80" w:type="dxa"/>
              <w:start w:w="100" w:type="dxa"/>
              <w:bottom w:w="80" w:type="dxa"/>
              <w:end w:w="100" w:type="dxa"/>
            </w:tcMar>
            <w:vAlign w:val="center"/>
          </w:tcPr>
          <w:p>
            <w:pPr>
              <w:jc w:val="center"/>
            </w:pPr>
            <w:r>
              <w:rPr>
                <w:color w:val="1E293B"/>
                <w:sz w:val="16"/>
              </w:rPr>
              <w:t>18.93%</w:t>
            </w:r>
          </w:p>
        </w:tc>
        <w:tc>
          <w:tcPr>
            <w:tcW w:type="dxa" w:w="1944"/>
            <w:tcMar>
              <w:top w:w="80" w:type="dxa"/>
              <w:start w:w="100" w:type="dxa"/>
              <w:bottom w:w="80" w:type="dxa"/>
              <w:end w:w="100" w:type="dxa"/>
            </w:tcMar>
            <w:vAlign w:val="center"/>
          </w:tcPr>
          <w:p>
            <w:pPr>
              <w:jc w:val="center"/>
            </w:pPr>
            <w:r>
              <w:rPr>
                <w:color w:val="1E293B"/>
                <w:sz w:val="16"/>
              </w:rPr>
              <w:t>18.93%</w:t>
            </w:r>
          </w:p>
        </w:tc>
      </w:tr>
    </w:tbl>
    <w:p>
      <w:pPr>
        <w:pStyle w:val="ListBullet"/>
        <w:spacing w:after="40"/>
      </w:pPr>
      <w:r>
        <w:rPr>
          <w:color w:val="1E293B"/>
          <w:sz w:val="19"/>
        </w:rPr>
        <w:t>TCS: selected margin model = Naive; forecast path = 25.67%, 25.67%, 25.67%, 25.67%.</w:t>
      </w:r>
    </w:p>
    <w:p>
      <w:pPr>
        <w:pStyle w:val="ListBullet"/>
        <w:spacing w:after="40"/>
      </w:pPr>
      <w:r>
        <w:rPr>
          <w:color w:val="1E293B"/>
          <w:sz w:val="19"/>
        </w:rPr>
        <w:t>Infosys: selected margin model = Naive; forecast path = 23.66%, 23.66%, 23.66%, 23.66%.</w:t>
      </w:r>
    </w:p>
    <w:p>
      <w:pPr>
        <w:pStyle w:val="ListBullet"/>
        <w:spacing w:after="40"/>
      </w:pPr>
      <w:r>
        <w:rPr>
          <w:color w:val="1E293B"/>
          <w:sz w:val="19"/>
        </w:rPr>
        <w:t>HCLTech: selected margin model = AutoReg(1); forecast path = 19.82%, 19.58%, 19.34%, 19.10%.</w:t>
      </w:r>
    </w:p>
    <w:p>
      <w:pPr>
        <w:pStyle w:val="ListBullet"/>
        <w:spacing w:after="40"/>
      </w:pPr>
      <w:r>
        <w:rPr>
          <w:color w:val="1E293B"/>
          <w:sz w:val="19"/>
        </w:rPr>
        <w:t>Wipro: selected margin model = Naive; forecast path = 18.93%, 18.93%, 18.93%, 18.93%.</w:t>
      </w:r>
    </w:p>
    <w:p>
      <w:pPr>
        <w:spacing w:after="100" w:line="254" w:lineRule="auto"/>
      </w:pPr>
      <w:r>
        <w:rPr>
          <w:color w:val="1E293B"/>
          <w:sz w:val="19"/>
        </w:rPr>
        <w:t>Margin forecasts are intentionally separated from current issuer-defined Q1 FY27 margin disclosures. The historical series is based on the Week 2 standardized operating-profit calculation. This prevents the forecast model from silently changing the dependent variable definition at the forecast boundary.</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Margin-specific limitation</w:t>
            </w:r>
          </w:p>
          <w:p>
            <w:r>
              <w:rPr>
                <w:color w:val="1E293B"/>
                <w:sz w:val="18"/>
              </w:rPr>
              <w:t>Operating margin is more vulnerable than revenue to one-off restructuring, wage revisions, utilization swings, pricing actions, acquisitions and exceptional items. A point forecast should therefore be treated as a central statistical path, not a guaranteed operating outcome.</w:t>
            </w:r>
          </w:p>
        </w:tc>
      </w:tr>
    </w:tbl>
    <w:p>
      <w:r>
        <w:br w:type="page"/>
      </w:r>
    </w:p>
    <w:p>
      <w:pPr>
        <w:pStyle w:val="Heading1"/>
        <w:spacing w:before="140" w:after="80"/>
      </w:pPr>
      <w:r>
        <w:rPr>
          <w:b/>
          <w:color w:val="17324D"/>
        </w:rPr>
        <w:t>8. Model Diagnostics, Strengths, Weaknesses and Improvements</w:t>
      </w:r>
    </w:p>
    <w:p>
      <w:r>
        <w:drawing>
          <wp:inline xmlns:a="http://schemas.openxmlformats.org/drawingml/2006/main" xmlns:pic="http://schemas.openxmlformats.org/drawingml/2006/picture">
            <wp:extent cx="5989320" cy="3071054"/>
            <wp:docPr id="7" name="Picture 7"/>
            <wp:cNvGraphicFramePr>
              <a:graphicFrameLocks noChangeAspect="1"/>
            </wp:cNvGraphicFramePr>
            <a:graphic>
              <a:graphicData uri="http://schemas.openxmlformats.org/drawingml/2006/picture">
                <pic:pic>
                  <pic:nvPicPr>
                    <pic:cNvPr id="0" name="revenue_model_residuals.png"/>
                    <pic:cNvPicPr/>
                  </pic:nvPicPr>
                  <pic:blipFill>
                    <a:blip r:embed="rId17"/>
                    <a:stretch>
                      <a:fillRect/>
                    </a:stretch>
                  </pic:blipFill>
                  <pic:spPr>
                    <a:xfrm>
                      <a:off x="0" y="0"/>
                      <a:ext cx="5989320" cy="3071054"/>
                    </a:xfrm>
                    <a:prstGeom prst="rect"/>
                  </pic:spPr>
                </pic:pic>
              </a:graphicData>
            </a:graphic>
          </wp:inline>
        </w:drawing>
      </w:r>
    </w:p>
    <w:p>
      <w:pPr>
        <w:jc w:val="center"/>
      </w:pPr>
      <w:r>
        <w:rPr>
          <w:i/>
          <w:color w:val="6B7280"/>
          <w:sz w:val="17"/>
        </w:rPr>
        <w:t>Figure 7. In-sample residuals for the selected revenue models. Residuals are shown only as a diagnostic, not as an assertion of randomness.</w:t>
      </w:r>
    </w:p>
    <w:p>
      <w:pPr>
        <w:pStyle w:val="Heading2"/>
        <w:spacing w:before="140" w:after="80"/>
      </w:pPr>
      <w:r>
        <w:rPr>
          <w:b/>
          <w:color w:val="007F86"/>
        </w:rPr>
        <w:t>8.1 Strengths</w:t>
      </w:r>
    </w:p>
    <w:p>
      <w:pPr>
        <w:pStyle w:val="ListBullet"/>
        <w:spacing w:after="40"/>
      </w:pPr>
      <w:r>
        <w:rPr>
          <w:color w:val="1E293B"/>
          <w:sz w:val="19"/>
        </w:rPr>
        <w:t>Time-order integrity is maintained from training through final forecasting.</w:t>
      </w:r>
    </w:p>
    <w:p>
      <w:pPr>
        <w:pStyle w:val="ListBullet"/>
        <w:spacing w:after="40"/>
      </w:pPr>
      <w:r>
        <w:rPr>
          <w:color w:val="1E293B"/>
          <w:sz w:val="19"/>
        </w:rPr>
        <w:t>Model complexity is matched to the short quarterly sample.</w:t>
      </w:r>
    </w:p>
    <w:p>
      <w:pPr>
        <w:pStyle w:val="ListBullet"/>
        <w:spacing w:after="40"/>
      </w:pPr>
      <w:r>
        <w:rPr>
          <w:color w:val="1E293B"/>
          <w:sz w:val="19"/>
        </w:rPr>
        <w:t>The naive benchmark makes incremental value from model structure visible.</w:t>
      </w:r>
    </w:p>
    <w:p>
      <w:pPr>
        <w:pStyle w:val="ListBullet"/>
        <w:spacing w:after="40"/>
      </w:pPr>
      <w:r>
        <w:rPr>
          <w:color w:val="1E293B"/>
          <w:sz w:val="19"/>
        </w:rPr>
        <w:t>Forecast error is measured on unseen quarters rather than only in-sample.</w:t>
      </w:r>
    </w:p>
    <w:p>
      <w:pPr>
        <w:pStyle w:val="ListBullet"/>
        <w:spacing w:after="40"/>
      </w:pPr>
      <w:r>
        <w:rPr>
          <w:color w:val="1E293B"/>
          <w:sz w:val="19"/>
        </w:rPr>
        <w:t>The workflow is reproducible in Python and tied directly to the Week 2 cleaned dataset.</w:t>
      </w:r>
    </w:p>
    <w:p>
      <w:pPr>
        <w:pStyle w:val="Heading2"/>
        <w:spacing w:before="140" w:after="80"/>
      </w:pPr>
      <w:r>
        <w:rPr>
          <w:b/>
          <w:color w:val="007F86"/>
        </w:rPr>
        <w:t>8.2 Weaknesses</w:t>
      </w:r>
    </w:p>
    <w:p>
      <w:pPr>
        <w:pStyle w:val="ListBullet"/>
        <w:spacing w:after="40"/>
      </w:pPr>
      <w:r>
        <w:rPr>
          <w:color w:val="1E293B"/>
          <w:sz w:val="19"/>
        </w:rPr>
        <w:t>Only 13 observations are available per company, limiting statistical power and the ability to detect stable seasonality.</w:t>
      </w:r>
    </w:p>
    <w:p>
      <w:pPr>
        <w:pStyle w:val="ListBullet"/>
        <w:spacing w:after="40"/>
      </w:pPr>
      <w:r>
        <w:rPr>
          <w:color w:val="1E293B"/>
          <w:sz w:val="19"/>
        </w:rPr>
        <w:t>Univariate models cannot explicitly explain FX, demand, TCV, AI adoption, attrition, headcount or macroeconomic changes.</w:t>
      </w:r>
    </w:p>
    <w:p>
      <w:pPr>
        <w:pStyle w:val="ListBullet"/>
        <w:spacing w:after="40"/>
      </w:pPr>
      <w:r>
        <w:rPr>
          <w:color w:val="1E293B"/>
          <w:sz w:val="19"/>
        </w:rPr>
        <w:t>A single three-quarter holdout is still a small validation sample and can make model selection sensitive to a few observations.</w:t>
      </w:r>
    </w:p>
    <w:p>
      <w:pPr>
        <w:pStyle w:val="ListBullet"/>
        <w:spacing w:after="40"/>
      </w:pPr>
      <w:r>
        <w:rPr>
          <w:color w:val="1E293B"/>
          <w:sz w:val="19"/>
        </w:rPr>
        <w:t>Structural breaks can invalidate patterns learned from earlier quarters.</w:t>
      </w:r>
    </w:p>
    <w:p>
      <w:pPr>
        <w:pStyle w:val="ListBullet"/>
        <w:spacing w:after="40"/>
      </w:pPr>
      <w:r>
        <w:rPr>
          <w:color w:val="1E293B"/>
          <w:sz w:val="19"/>
        </w:rPr>
        <w:t>The operating-margin target is a standardized analytical metric and does not perfectly match every issuer’s current reporting definition.</w:t>
      </w:r>
    </w:p>
    <w:p>
      <w:pPr>
        <w:pStyle w:val="Heading2"/>
        <w:spacing w:before="140" w:after="80"/>
      </w:pPr>
      <w:r>
        <w:rPr>
          <w:b/>
          <w:color w:val="007F86"/>
        </w:rPr>
        <w:t>8.3 Recommended improvements</w:t>
      </w:r>
    </w:p>
    <w:p>
      <w:pPr>
        <w:pStyle w:val="ListBullet"/>
        <w:spacing w:after="40"/>
      </w:pPr>
      <w:r>
        <w:rPr>
          <w:color w:val="1E293B"/>
          <w:sz w:val="19"/>
        </w:rPr>
        <w:t>Extend the dataset to additional quarters as they become available and repeat rolling-origin validation.</w:t>
      </w:r>
    </w:p>
    <w:p>
      <w:pPr>
        <w:pStyle w:val="ListBullet"/>
        <w:spacing w:after="40"/>
      </w:pPr>
      <w:r>
        <w:rPr>
          <w:color w:val="1E293B"/>
          <w:sz w:val="19"/>
        </w:rPr>
        <w:t>Add exogenous variables with consistent definitions: constant-currency growth, TCV/bookings, headcount, attrition, wage inflation and FX.</w:t>
      </w:r>
    </w:p>
    <w:p>
      <w:pPr>
        <w:pStyle w:val="ListBullet"/>
        <w:spacing w:after="40"/>
      </w:pPr>
      <w:r>
        <w:rPr>
          <w:color w:val="1E293B"/>
          <w:sz w:val="19"/>
        </w:rPr>
        <w:t>Test forecast combinations rather than relying on a single model.</w:t>
      </w:r>
    </w:p>
    <w:p>
      <w:pPr>
        <w:pStyle w:val="ListBullet"/>
        <w:spacing w:after="40"/>
      </w:pPr>
      <w:r>
        <w:rPr>
          <w:color w:val="1E293B"/>
          <w:sz w:val="19"/>
        </w:rPr>
        <w:t>Introduce scenario analysis around FX, demand and margin assumptions.</w:t>
      </w:r>
    </w:p>
    <w:p>
      <w:pPr>
        <w:pStyle w:val="ListBullet"/>
        <w:spacing w:after="40"/>
      </w:pPr>
      <w:r>
        <w:rPr>
          <w:color w:val="1E293B"/>
          <w:sz w:val="19"/>
        </w:rPr>
        <w:t>Compare against analyst consensus or issuer guidance only after ensuring date-consistent information sets and source traceability.</w:t>
      </w:r>
    </w:p>
    <w:p>
      <w:pPr>
        <w:pStyle w:val="Heading1"/>
        <w:spacing w:before="140" w:after="80"/>
      </w:pPr>
      <w:r>
        <w:rPr>
          <w:b/>
          <w:color w:val="17324D"/>
        </w:rPr>
        <w:t>9. Forecast Risk Register and Critical Evaluation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24D"/>
            <w:tcMar>
              <w:top w:w="80" w:type="dxa"/>
              <w:start w:w="100" w:type="dxa"/>
              <w:bottom w:w="80" w:type="dxa"/>
              <w:end w:w="100" w:type="dxa"/>
            </w:tcMar>
          </w:tcPr>
          <w:p>
            <w:pPr>
              <w:jc w:val="center"/>
            </w:pPr>
            <w:r>
              <w:rPr>
                <w:b/>
                <w:color w:val="FFFFFF"/>
                <w:sz w:val="16"/>
              </w:rPr>
              <w:t>Risk</w:t>
            </w:r>
          </w:p>
        </w:tc>
        <w:tc>
          <w:tcPr>
            <w:tcW w:type="dxa" w:w="1152"/>
            <w:shd w:fill="17324D"/>
            <w:tcMar>
              <w:top w:w="80" w:type="dxa"/>
              <w:start w:w="100" w:type="dxa"/>
              <w:bottom w:w="80" w:type="dxa"/>
              <w:end w:w="100" w:type="dxa"/>
            </w:tcMar>
          </w:tcPr>
          <w:p>
            <w:pPr>
              <w:jc w:val="center"/>
            </w:pPr>
            <w:r>
              <w:rPr>
                <w:b/>
                <w:color w:val="FFFFFF"/>
                <w:sz w:val="16"/>
              </w:rPr>
              <w:t>Materiality</w:t>
            </w:r>
          </w:p>
        </w:tc>
        <w:tc>
          <w:tcPr>
            <w:tcW w:type="dxa" w:w="4176"/>
            <w:shd w:fill="17324D"/>
            <w:tcMar>
              <w:top w:w="80" w:type="dxa"/>
              <w:start w:w="100" w:type="dxa"/>
              <w:bottom w:w="80" w:type="dxa"/>
              <w:end w:w="100" w:type="dxa"/>
            </w:tcMar>
          </w:tcPr>
          <w:p>
            <w:pPr>
              <w:jc w:val="center"/>
            </w:pPr>
            <w:r>
              <w:rPr>
                <w:b/>
                <w:color w:val="FFFFFF"/>
                <w:sz w:val="16"/>
              </w:rPr>
              <w:t>Potential effect</w:t>
            </w:r>
          </w:p>
        </w:tc>
        <w:tc>
          <w:tcPr>
            <w:tcW w:type="dxa" w:w="3312"/>
            <w:shd w:fill="17324D"/>
            <w:tcMar>
              <w:top w:w="80" w:type="dxa"/>
              <w:start w:w="100" w:type="dxa"/>
              <w:bottom w:w="80" w:type="dxa"/>
              <w:end w:w="100" w:type="dxa"/>
            </w:tcMar>
          </w:tcPr>
          <w:p>
            <w:pPr>
              <w:jc w:val="center"/>
            </w:pPr>
            <w:r>
              <w:rPr>
                <w:b/>
                <w:color w:val="FFFFFF"/>
                <w:sz w:val="16"/>
              </w:rPr>
              <w:t>Mitigation</w:t>
            </w:r>
          </w:p>
        </w:tc>
      </w:tr>
      <w:tr>
        <w:tc>
          <w:tcPr>
            <w:tcW w:type="dxa" w:w="1944"/>
            <w:tcMar>
              <w:top w:w="80" w:type="dxa"/>
              <w:start w:w="100" w:type="dxa"/>
              <w:bottom w:w="80" w:type="dxa"/>
              <w:end w:w="100" w:type="dxa"/>
            </w:tcMar>
            <w:vAlign w:val="center"/>
            <w:shd w:fill="F7FAFC"/>
          </w:tcPr>
          <w:p>
            <w:pPr>
              <w:jc w:val="left"/>
            </w:pPr>
            <w:r>
              <w:rPr>
                <w:color w:val="1E293B"/>
                <w:sz w:val="16"/>
              </w:rPr>
              <w:t>Short history</w:t>
            </w:r>
          </w:p>
        </w:tc>
        <w:tc>
          <w:tcPr>
            <w:tcW w:type="dxa" w:w="1152"/>
            <w:tcMar>
              <w:top w:w="80" w:type="dxa"/>
              <w:start w:w="100" w:type="dxa"/>
              <w:bottom w:w="80" w:type="dxa"/>
              <w:end w:w="100" w:type="dxa"/>
            </w:tcMar>
            <w:vAlign w:val="center"/>
            <w:shd w:fill="F7FAFC"/>
          </w:tcPr>
          <w:p>
            <w:pPr>
              <w:jc w:val="center"/>
            </w:pPr>
            <w:r>
              <w:rPr>
                <w:color w:val="1E293B"/>
                <w:sz w:val="16"/>
              </w:rPr>
              <w:t>High</w:t>
            </w:r>
          </w:p>
        </w:tc>
        <w:tc>
          <w:tcPr>
            <w:tcW w:type="dxa" w:w="4176"/>
            <w:tcMar>
              <w:top w:w="80" w:type="dxa"/>
              <w:start w:w="100" w:type="dxa"/>
              <w:bottom w:w="80" w:type="dxa"/>
              <w:end w:w="100" w:type="dxa"/>
            </w:tcMar>
            <w:vAlign w:val="center"/>
            <w:shd w:fill="F7FAFC"/>
          </w:tcPr>
          <w:p>
            <w:pPr>
              <w:jc w:val="center"/>
            </w:pPr>
            <w:r>
              <w:rPr>
                <w:color w:val="1E293B"/>
                <w:sz w:val="16"/>
              </w:rPr>
              <w:t>Model instability / wide uncertainty</w:t>
            </w:r>
          </w:p>
        </w:tc>
        <w:tc>
          <w:tcPr>
            <w:tcW w:type="dxa" w:w="3312"/>
            <w:tcMar>
              <w:top w:w="80" w:type="dxa"/>
              <w:start w:w="100" w:type="dxa"/>
              <w:bottom w:w="80" w:type="dxa"/>
              <w:end w:w="100" w:type="dxa"/>
            </w:tcMar>
            <w:vAlign w:val="center"/>
            <w:shd w:fill="F7FAFC"/>
          </w:tcPr>
          <w:p>
            <w:pPr>
              <w:jc w:val="center"/>
            </w:pPr>
            <w:r>
              <w:rPr>
                <w:color w:val="1E293B"/>
                <w:sz w:val="16"/>
              </w:rPr>
              <w:t>Expand history; rolling validation</w:t>
            </w:r>
          </w:p>
        </w:tc>
      </w:tr>
      <w:tr>
        <w:tc>
          <w:tcPr>
            <w:tcW w:type="dxa" w:w="1944"/>
            <w:tcMar>
              <w:top w:w="80" w:type="dxa"/>
              <w:start w:w="100" w:type="dxa"/>
              <w:bottom w:w="80" w:type="dxa"/>
              <w:end w:w="100" w:type="dxa"/>
            </w:tcMar>
            <w:vAlign w:val="center"/>
          </w:tcPr>
          <w:p>
            <w:pPr>
              <w:jc w:val="left"/>
            </w:pPr>
            <w:r>
              <w:rPr>
                <w:color w:val="1E293B"/>
                <w:sz w:val="16"/>
              </w:rPr>
              <w:t>FX distortion</w:t>
            </w:r>
          </w:p>
        </w:tc>
        <w:tc>
          <w:tcPr>
            <w:tcW w:type="dxa" w:w="1152"/>
            <w:tcMar>
              <w:top w:w="80" w:type="dxa"/>
              <w:start w:w="100" w:type="dxa"/>
              <w:bottom w:w="80" w:type="dxa"/>
              <w:end w:w="100" w:type="dxa"/>
            </w:tcMar>
            <w:vAlign w:val="center"/>
          </w:tcPr>
          <w:p>
            <w:pPr>
              <w:jc w:val="center"/>
            </w:pPr>
            <w:r>
              <w:rPr>
                <w:color w:val="1E293B"/>
                <w:sz w:val="16"/>
              </w:rPr>
              <w:t>High</w:t>
            </w:r>
          </w:p>
        </w:tc>
        <w:tc>
          <w:tcPr>
            <w:tcW w:type="dxa" w:w="4176"/>
            <w:tcMar>
              <w:top w:w="80" w:type="dxa"/>
              <w:start w:w="100" w:type="dxa"/>
              <w:bottom w:w="80" w:type="dxa"/>
              <w:end w:w="100" w:type="dxa"/>
            </w:tcMar>
            <w:vAlign w:val="center"/>
          </w:tcPr>
          <w:p>
            <w:pPr>
              <w:jc w:val="center"/>
            </w:pPr>
            <w:r>
              <w:rPr>
                <w:color w:val="1E293B"/>
                <w:sz w:val="16"/>
              </w:rPr>
              <w:t>INR revenue may diverge from underlying demand</w:t>
            </w:r>
          </w:p>
        </w:tc>
        <w:tc>
          <w:tcPr>
            <w:tcW w:type="dxa" w:w="3312"/>
            <w:tcMar>
              <w:top w:w="80" w:type="dxa"/>
              <w:start w:w="100" w:type="dxa"/>
              <w:bottom w:w="80" w:type="dxa"/>
              <w:end w:w="100" w:type="dxa"/>
            </w:tcMar>
            <w:vAlign w:val="center"/>
          </w:tcPr>
          <w:p>
            <w:pPr>
              <w:jc w:val="center"/>
            </w:pPr>
            <w:r>
              <w:rPr>
                <w:color w:val="1E293B"/>
                <w:sz w:val="16"/>
              </w:rPr>
              <w:t>Add CC metrics and FX scenario</w:t>
            </w:r>
          </w:p>
        </w:tc>
      </w:tr>
      <w:tr>
        <w:tc>
          <w:tcPr>
            <w:tcW w:type="dxa" w:w="1944"/>
            <w:tcMar>
              <w:top w:w="80" w:type="dxa"/>
              <w:start w:w="100" w:type="dxa"/>
              <w:bottom w:w="80" w:type="dxa"/>
              <w:end w:w="100" w:type="dxa"/>
            </w:tcMar>
            <w:vAlign w:val="center"/>
            <w:shd w:fill="F7FAFC"/>
          </w:tcPr>
          <w:p>
            <w:pPr>
              <w:jc w:val="left"/>
            </w:pPr>
            <w:r>
              <w:rPr>
                <w:color w:val="1E293B"/>
                <w:sz w:val="16"/>
              </w:rPr>
              <w:t>Contract timing</w:t>
            </w:r>
          </w:p>
        </w:tc>
        <w:tc>
          <w:tcPr>
            <w:tcW w:type="dxa" w:w="1152"/>
            <w:tcMar>
              <w:top w:w="80" w:type="dxa"/>
              <w:start w:w="100" w:type="dxa"/>
              <w:bottom w:w="80" w:type="dxa"/>
              <w:end w:w="100" w:type="dxa"/>
            </w:tcMar>
            <w:vAlign w:val="center"/>
            <w:shd w:fill="F7FAFC"/>
          </w:tcPr>
          <w:p>
            <w:pPr>
              <w:jc w:val="center"/>
            </w:pPr>
            <w:r>
              <w:rPr>
                <w:color w:val="1E293B"/>
                <w:sz w:val="16"/>
              </w:rPr>
              <w:t>High</w:t>
            </w:r>
          </w:p>
        </w:tc>
        <w:tc>
          <w:tcPr>
            <w:tcW w:type="dxa" w:w="4176"/>
            <w:tcMar>
              <w:top w:w="80" w:type="dxa"/>
              <w:start w:w="100" w:type="dxa"/>
              <w:bottom w:w="80" w:type="dxa"/>
              <w:end w:w="100" w:type="dxa"/>
            </w:tcMar>
            <w:vAlign w:val="center"/>
            <w:shd w:fill="F7FAFC"/>
          </w:tcPr>
          <w:p>
            <w:pPr>
              <w:jc w:val="center"/>
            </w:pPr>
            <w:r>
              <w:rPr>
                <w:color w:val="1E293B"/>
                <w:sz w:val="16"/>
              </w:rPr>
              <w:t>Large deal wins/losses can create step changes</w:t>
            </w:r>
          </w:p>
        </w:tc>
        <w:tc>
          <w:tcPr>
            <w:tcW w:type="dxa" w:w="3312"/>
            <w:tcMar>
              <w:top w:w="80" w:type="dxa"/>
              <w:start w:w="100" w:type="dxa"/>
              <w:bottom w:w="80" w:type="dxa"/>
              <w:end w:w="100" w:type="dxa"/>
            </w:tcMar>
            <w:vAlign w:val="center"/>
            <w:shd w:fill="F7FAFC"/>
          </w:tcPr>
          <w:p>
            <w:pPr>
              <w:jc w:val="center"/>
            </w:pPr>
            <w:r>
              <w:rPr>
                <w:color w:val="1E293B"/>
                <w:sz w:val="16"/>
              </w:rPr>
              <w:t>Add TCV/bookings features</w:t>
            </w:r>
          </w:p>
        </w:tc>
      </w:tr>
      <w:tr>
        <w:tc>
          <w:tcPr>
            <w:tcW w:type="dxa" w:w="1944"/>
            <w:tcMar>
              <w:top w:w="80" w:type="dxa"/>
              <w:start w:w="100" w:type="dxa"/>
              <w:bottom w:w="80" w:type="dxa"/>
              <w:end w:w="100" w:type="dxa"/>
            </w:tcMar>
            <w:vAlign w:val="center"/>
          </w:tcPr>
          <w:p>
            <w:pPr>
              <w:jc w:val="left"/>
            </w:pPr>
            <w:r>
              <w:rPr>
                <w:color w:val="1E293B"/>
                <w:sz w:val="16"/>
              </w:rPr>
              <w:t>Margin shocks</w:t>
            </w:r>
          </w:p>
        </w:tc>
        <w:tc>
          <w:tcPr>
            <w:tcW w:type="dxa" w:w="1152"/>
            <w:tcMar>
              <w:top w:w="80" w:type="dxa"/>
              <w:start w:w="100" w:type="dxa"/>
              <w:bottom w:w="80" w:type="dxa"/>
              <w:end w:w="100" w:type="dxa"/>
            </w:tcMar>
            <w:vAlign w:val="center"/>
          </w:tcPr>
          <w:p>
            <w:pPr>
              <w:jc w:val="center"/>
            </w:pPr>
            <w:r>
              <w:rPr>
                <w:color w:val="1E293B"/>
                <w:sz w:val="16"/>
              </w:rPr>
              <w:t>High</w:t>
            </w:r>
          </w:p>
        </w:tc>
        <w:tc>
          <w:tcPr>
            <w:tcW w:type="dxa" w:w="4176"/>
            <w:tcMar>
              <w:top w:w="80" w:type="dxa"/>
              <w:start w:w="100" w:type="dxa"/>
              <w:bottom w:w="80" w:type="dxa"/>
              <w:end w:w="100" w:type="dxa"/>
            </w:tcMar>
            <w:vAlign w:val="center"/>
          </w:tcPr>
          <w:p>
            <w:pPr>
              <w:jc w:val="center"/>
            </w:pPr>
            <w:r>
              <w:rPr>
                <w:color w:val="1E293B"/>
                <w:sz w:val="16"/>
              </w:rPr>
              <w:t>Wage/restructuring/utilization changes can break trend</w:t>
            </w:r>
          </w:p>
        </w:tc>
        <w:tc>
          <w:tcPr>
            <w:tcW w:type="dxa" w:w="3312"/>
            <w:tcMar>
              <w:top w:w="80" w:type="dxa"/>
              <w:start w:w="100" w:type="dxa"/>
              <w:bottom w:w="80" w:type="dxa"/>
              <w:end w:w="100" w:type="dxa"/>
            </w:tcMar>
            <w:vAlign w:val="center"/>
          </w:tcPr>
          <w:p>
            <w:pPr>
              <w:jc w:val="center"/>
            </w:pPr>
            <w:r>
              <w:rPr>
                <w:color w:val="1E293B"/>
                <w:sz w:val="16"/>
              </w:rPr>
              <w:t>Model cost drivers and scenarios</w:t>
            </w:r>
          </w:p>
        </w:tc>
      </w:tr>
      <w:tr>
        <w:tc>
          <w:tcPr>
            <w:tcW w:type="dxa" w:w="1944"/>
            <w:tcMar>
              <w:top w:w="80" w:type="dxa"/>
              <w:start w:w="100" w:type="dxa"/>
              <w:bottom w:w="80" w:type="dxa"/>
              <w:end w:w="100" w:type="dxa"/>
            </w:tcMar>
            <w:vAlign w:val="center"/>
            <w:shd w:fill="F7FAFC"/>
          </w:tcPr>
          <w:p>
            <w:pPr>
              <w:jc w:val="left"/>
            </w:pPr>
            <w:r>
              <w:rPr>
                <w:color w:val="1E293B"/>
                <w:sz w:val="16"/>
              </w:rPr>
              <w:t>Reporting basis</w:t>
            </w:r>
          </w:p>
        </w:tc>
        <w:tc>
          <w:tcPr>
            <w:tcW w:type="dxa" w:w="1152"/>
            <w:tcMar>
              <w:top w:w="80" w:type="dxa"/>
              <w:start w:w="100" w:type="dxa"/>
              <w:bottom w:w="80" w:type="dxa"/>
              <w:end w:w="100" w:type="dxa"/>
            </w:tcMar>
            <w:vAlign w:val="center"/>
            <w:shd w:fill="F7FAFC"/>
          </w:tcPr>
          <w:p>
            <w:pPr>
              <w:jc w:val="center"/>
            </w:pPr>
            <w:r>
              <w:rPr>
                <w:color w:val="1E293B"/>
                <w:sz w:val="16"/>
              </w:rPr>
              <w:t>Medium</w:t>
            </w:r>
          </w:p>
        </w:tc>
        <w:tc>
          <w:tcPr>
            <w:tcW w:type="dxa" w:w="4176"/>
            <w:tcMar>
              <w:top w:w="80" w:type="dxa"/>
              <w:start w:w="100" w:type="dxa"/>
              <w:bottom w:w="80" w:type="dxa"/>
              <w:end w:w="100" w:type="dxa"/>
            </w:tcMar>
            <w:vAlign w:val="center"/>
            <w:shd w:fill="F7FAFC"/>
          </w:tcPr>
          <w:p>
            <w:pPr>
              <w:jc w:val="center"/>
            </w:pPr>
            <w:r>
              <w:rPr>
                <w:color w:val="1E293B"/>
                <w:sz w:val="16"/>
              </w:rPr>
              <w:t>Comparability can change across firms</w:t>
            </w:r>
          </w:p>
        </w:tc>
        <w:tc>
          <w:tcPr>
            <w:tcW w:type="dxa" w:w="3312"/>
            <w:tcMar>
              <w:top w:w="80" w:type="dxa"/>
              <w:start w:w="100" w:type="dxa"/>
              <w:bottom w:w="80" w:type="dxa"/>
              <w:end w:w="100" w:type="dxa"/>
            </w:tcMar>
            <w:vAlign w:val="center"/>
            <w:shd w:fill="F7FAFC"/>
          </w:tcPr>
          <w:p>
            <w:pPr>
              <w:jc w:val="center"/>
            </w:pPr>
            <w:r>
              <w:rPr>
                <w:color w:val="1E293B"/>
                <w:sz w:val="16"/>
              </w:rPr>
              <w:t>Lock target definition and source basis</w:t>
            </w:r>
          </w:p>
        </w:tc>
      </w:tr>
      <w:tr>
        <w:tc>
          <w:tcPr>
            <w:tcW w:type="dxa" w:w="1944"/>
            <w:tcMar>
              <w:top w:w="80" w:type="dxa"/>
              <w:start w:w="100" w:type="dxa"/>
              <w:bottom w:w="80" w:type="dxa"/>
              <w:end w:w="100" w:type="dxa"/>
            </w:tcMar>
            <w:vAlign w:val="center"/>
          </w:tcPr>
          <w:p>
            <w:pPr>
              <w:jc w:val="left"/>
            </w:pPr>
            <w:r>
              <w:rPr>
                <w:color w:val="1E293B"/>
                <w:sz w:val="16"/>
              </w:rPr>
              <w:t>Look-ahead leakage</w:t>
            </w:r>
          </w:p>
        </w:tc>
        <w:tc>
          <w:tcPr>
            <w:tcW w:type="dxa" w:w="1152"/>
            <w:tcMar>
              <w:top w:w="80" w:type="dxa"/>
              <w:start w:w="100" w:type="dxa"/>
              <w:bottom w:w="80" w:type="dxa"/>
              <w:end w:w="100" w:type="dxa"/>
            </w:tcMar>
            <w:vAlign w:val="center"/>
          </w:tcPr>
          <w:p>
            <w:pPr>
              <w:jc w:val="center"/>
            </w:pPr>
            <w:r>
              <w:rPr>
                <w:color w:val="1E293B"/>
                <w:sz w:val="16"/>
              </w:rPr>
              <w:t>High</w:t>
            </w:r>
          </w:p>
        </w:tc>
        <w:tc>
          <w:tcPr>
            <w:tcW w:type="dxa" w:w="4176"/>
            <w:tcMar>
              <w:top w:w="80" w:type="dxa"/>
              <w:start w:w="100" w:type="dxa"/>
              <w:bottom w:w="80" w:type="dxa"/>
              <w:end w:w="100" w:type="dxa"/>
            </w:tcMar>
            <w:vAlign w:val="center"/>
          </w:tcPr>
          <w:p>
            <w:pPr>
              <w:jc w:val="center"/>
            </w:pPr>
            <w:r>
              <w:rPr>
                <w:color w:val="1E293B"/>
                <w:sz w:val="16"/>
              </w:rPr>
              <w:t>Artificially optimistic validation</w:t>
            </w:r>
          </w:p>
        </w:tc>
        <w:tc>
          <w:tcPr>
            <w:tcW w:type="dxa" w:w="3312"/>
            <w:tcMar>
              <w:top w:w="80" w:type="dxa"/>
              <w:start w:w="100" w:type="dxa"/>
              <w:bottom w:w="80" w:type="dxa"/>
              <w:end w:w="100" w:type="dxa"/>
            </w:tcMar>
            <w:vAlign w:val="center"/>
          </w:tcPr>
          <w:p>
            <w:pPr>
              <w:jc w:val="center"/>
            </w:pPr>
            <w:r>
              <w:rPr>
                <w:color w:val="1E293B"/>
                <w:sz w:val="16"/>
              </w:rPr>
              <w:t>Enforce Q1 FY27 cutoff</w:t>
            </w:r>
          </w:p>
        </w:tc>
      </w:tr>
      <w:tr>
        <w:tc>
          <w:tcPr>
            <w:tcW w:type="dxa" w:w="1944"/>
            <w:tcMar>
              <w:top w:w="80" w:type="dxa"/>
              <w:start w:w="100" w:type="dxa"/>
              <w:bottom w:w="80" w:type="dxa"/>
              <w:end w:w="100" w:type="dxa"/>
            </w:tcMar>
            <w:vAlign w:val="center"/>
            <w:shd w:fill="F7FAFC"/>
          </w:tcPr>
          <w:p>
            <w:pPr>
              <w:jc w:val="left"/>
            </w:pPr>
            <w:r>
              <w:rPr>
                <w:color w:val="1E293B"/>
                <w:sz w:val="16"/>
              </w:rPr>
              <w:t>Overfitting</w:t>
            </w:r>
          </w:p>
        </w:tc>
        <w:tc>
          <w:tcPr>
            <w:tcW w:type="dxa" w:w="1152"/>
            <w:tcMar>
              <w:top w:w="80" w:type="dxa"/>
              <w:start w:w="100" w:type="dxa"/>
              <w:bottom w:w="80" w:type="dxa"/>
              <w:end w:w="100" w:type="dxa"/>
            </w:tcMar>
            <w:vAlign w:val="center"/>
            <w:shd w:fill="F7FAFC"/>
          </w:tcPr>
          <w:p>
            <w:pPr>
              <w:jc w:val="center"/>
            </w:pPr>
            <w:r>
              <w:rPr>
                <w:color w:val="1E293B"/>
                <w:sz w:val="16"/>
              </w:rPr>
              <w:t>High</w:t>
            </w:r>
          </w:p>
        </w:tc>
        <w:tc>
          <w:tcPr>
            <w:tcW w:type="dxa" w:w="4176"/>
            <w:tcMar>
              <w:top w:w="80" w:type="dxa"/>
              <w:start w:w="100" w:type="dxa"/>
              <w:bottom w:w="80" w:type="dxa"/>
              <w:end w:w="100" w:type="dxa"/>
            </w:tcMar>
            <w:vAlign w:val="center"/>
            <w:shd w:fill="F7FAFC"/>
          </w:tcPr>
          <w:p>
            <w:pPr>
              <w:jc w:val="center"/>
            </w:pPr>
            <w:r>
              <w:rPr>
                <w:color w:val="1E293B"/>
                <w:sz w:val="16"/>
              </w:rPr>
              <w:t>Good historical fit but poor future performance</w:t>
            </w:r>
          </w:p>
        </w:tc>
        <w:tc>
          <w:tcPr>
            <w:tcW w:type="dxa" w:w="3312"/>
            <w:tcMar>
              <w:top w:w="80" w:type="dxa"/>
              <w:start w:w="100" w:type="dxa"/>
              <w:bottom w:w="80" w:type="dxa"/>
              <w:end w:w="100" w:type="dxa"/>
            </w:tcMar>
            <w:vAlign w:val="center"/>
            <w:shd w:fill="F7FAFC"/>
          </w:tcPr>
          <w:p>
            <w:pPr>
              <w:jc w:val="center"/>
            </w:pPr>
            <w:r>
              <w:rPr>
                <w:color w:val="1E293B"/>
                <w:sz w:val="16"/>
              </w:rPr>
              <w:t>Prefer low-parameter models; hold out data</w:t>
            </w:r>
          </w:p>
        </w:tc>
      </w:tr>
      <w:tr>
        <w:tc>
          <w:tcPr>
            <w:tcW w:type="dxa" w:w="1944"/>
            <w:tcMar>
              <w:top w:w="80" w:type="dxa"/>
              <w:start w:w="100" w:type="dxa"/>
              <w:bottom w:w="80" w:type="dxa"/>
              <w:end w:w="100" w:type="dxa"/>
            </w:tcMar>
            <w:vAlign w:val="center"/>
          </w:tcPr>
          <w:p>
            <w:pPr>
              <w:jc w:val="left"/>
            </w:pPr>
            <w:r>
              <w:rPr>
                <w:color w:val="1E293B"/>
                <w:sz w:val="16"/>
              </w:rPr>
              <w:t>Model drift</w:t>
            </w:r>
          </w:p>
        </w:tc>
        <w:tc>
          <w:tcPr>
            <w:tcW w:type="dxa" w:w="1152"/>
            <w:tcMar>
              <w:top w:w="80" w:type="dxa"/>
              <w:start w:w="100" w:type="dxa"/>
              <w:bottom w:w="80" w:type="dxa"/>
              <w:end w:w="100" w:type="dxa"/>
            </w:tcMar>
            <w:vAlign w:val="center"/>
          </w:tcPr>
          <w:p>
            <w:pPr>
              <w:jc w:val="center"/>
            </w:pPr>
            <w:r>
              <w:rPr>
                <w:color w:val="1E293B"/>
                <w:sz w:val="16"/>
              </w:rPr>
              <w:t>Medium</w:t>
            </w:r>
          </w:p>
        </w:tc>
        <w:tc>
          <w:tcPr>
            <w:tcW w:type="dxa" w:w="4176"/>
            <w:tcMar>
              <w:top w:w="80" w:type="dxa"/>
              <w:start w:w="100" w:type="dxa"/>
              <w:bottom w:w="80" w:type="dxa"/>
              <w:end w:w="100" w:type="dxa"/>
            </w:tcMar>
            <w:vAlign w:val="center"/>
          </w:tcPr>
          <w:p>
            <w:pPr>
              <w:jc w:val="center"/>
            </w:pPr>
            <w:r>
              <w:rPr>
                <w:color w:val="1E293B"/>
                <w:sz w:val="16"/>
              </w:rPr>
              <w:t>Relationships may change after AI-led service shifts</w:t>
            </w:r>
          </w:p>
        </w:tc>
        <w:tc>
          <w:tcPr>
            <w:tcW w:type="dxa" w:w="3312"/>
            <w:tcMar>
              <w:top w:w="80" w:type="dxa"/>
              <w:start w:w="100" w:type="dxa"/>
              <w:bottom w:w="80" w:type="dxa"/>
              <w:end w:w="100" w:type="dxa"/>
            </w:tcMar>
            <w:vAlign w:val="center"/>
          </w:tcPr>
          <w:p>
            <w:pPr>
              <w:jc w:val="center"/>
            </w:pPr>
            <w:r>
              <w:rPr>
                <w:color w:val="1E293B"/>
                <w:sz w:val="16"/>
              </w:rPr>
              <w:t>Re-estimate regularly and monitor errors</w:t>
            </w:r>
          </w:p>
        </w:tc>
      </w:tr>
    </w:tbl>
    <w:p>
      <w:pPr>
        <w:pStyle w:val="Heading2"/>
        <w:spacing w:before="140" w:after="80"/>
      </w:pPr>
      <w:r>
        <w:rPr>
          <w:b/>
          <w:color w:val="007F86"/>
        </w:rPr>
        <w:t>9.1 Critical evaluation</w:t>
      </w:r>
    </w:p>
    <w:p>
      <w:pPr>
        <w:spacing w:after="100" w:line="254" w:lineRule="auto"/>
      </w:pPr>
      <w:r>
        <w:rPr>
          <w:color w:val="1E293B"/>
          <w:sz w:val="19"/>
        </w:rPr>
        <w:t>The exercise demonstrates that a forecast can be technically reproducible without being inherently reliable. The strongest control is not model sophistication; it is a disciplined information set and a validation process that mimics the way the forecast would have been produced at the time. The next development stage should therefore focus on expanding the evidence base and adding economically meaningful predictors before increasing algorithmic complexity.</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Analyst conclusion</w:t>
            </w:r>
          </w:p>
          <w:p>
            <w:r>
              <w:rPr>
                <w:color w:val="1E293B"/>
                <w:sz w:val="18"/>
              </w:rPr>
              <w:t>The current models are suitable as transparent short-horizon baselines. Their main value is establishing a measurable starting point for future forecasting iterations, not eliminating uncertainty.</w:t>
            </w:r>
          </w:p>
        </w:tc>
      </w:tr>
    </w:tbl>
    <w:p>
      <w:r>
        <w:br w:type="page"/>
      </w:r>
    </w:p>
    <w:p>
      <w:pPr>
        <w:pStyle w:val="Heading1"/>
        <w:spacing w:before="140" w:after="80"/>
      </w:pPr>
      <w:r>
        <w:rPr>
          <w:b/>
          <w:color w:val="17324D"/>
        </w:rPr>
        <w:t>10. References and Reproducibility</w:t>
      </w:r>
    </w:p>
    <w:p>
      <w:pPr>
        <w:spacing w:after="100" w:line="254" w:lineRule="auto"/>
      </w:pPr>
      <w:r>
        <w:rPr>
          <w:color w:val="1E293B"/>
          <w:sz w:val="19"/>
        </w:rPr>
        <w:t>Methodology references used for the literature-review section and implementation choices:</w:t>
      </w:r>
    </w:p>
    <w:p>
      <w:r>
        <w:rPr>
          <w:color w:val="1E293B"/>
          <w:sz w:val="18"/>
        </w:rPr>
        <w:t xml:space="preserve">Hyndman, R. J. &amp; Athanasopoulos, G. — Forecasting: Principles and Practice (3rd ed. online) — </w:t>
      </w:r>
      <w:r>
        <w:rPr>
          <w:color w:val="007F86"/>
          <w:sz w:val="17"/>
        </w:rPr>
        <w:t>https://otexts.com/fpp3/</w:t>
      </w:r>
    </w:p>
    <w:p>
      <w:r>
        <w:rPr>
          <w:color w:val="1E293B"/>
          <w:sz w:val="18"/>
        </w:rPr>
        <w:t xml:space="preserve">Hyndman &amp; Athanasopoulos — Chapter 7: Exponential Smoothing — </w:t>
      </w:r>
      <w:r>
        <w:rPr>
          <w:color w:val="007F86"/>
          <w:sz w:val="17"/>
        </w:rPr>
        <w:t>https://otexts.com/fpp2/expsmooth.html</w:t>
      </w:r>
    </w:p>
    <w:p>
      <w:r>
        <w:rPr>
          <w:color w:val="1E293B"/>
          <w:sz w:val="18"/>
        </w:rPr>
        <w:t xml:space="preserve">Hyndman &amp; Athanasopoulos — Chapter 9: ARIMA Models — </w:t>
      </w:r>
      <w:r>
        <w:rPr>
          <w:color w:val="007F86"/>
          <w:sz w:val="17"/>
        </w:rPr>
        <w:t>https://otexts.com/fpp3/arima.html</w:t>
      </w:r>
    </w:p>
    <w:p>
      <w:r>
        <w:rPr>
          <w:color w:val="1E293B"/>
          <w:sz w:val="18"/>
        </w:rPr>
        <w:t xml:space="preserve">statsmodels — AutoReg documentation — </w:t>
      </w:r>
      <w:r>
        <w:rPr>
          <w:color w:val="007F86"/>
          <w:sz w:val="17"/>
        </w:rPr>
        <w:t>https://www.statsmodels.org/stable/generated/statsmodels.tsa.ar_model.AutoReg.html</w:t>
      </w:r>
    </w:p>
    <w:p>
      <w:r>
        <w:rPr>
          <w:color w:val="1E293B"/>
          <w:sz w:val="18"/>
        </w:rPr>
        <w:t xml:space="preserve">statsmodels — Holt documentation — </w:t>
      </w:r>
      <w:r>
        <w:rPr>
          <w:color w:val="007F86"/>
          <w:sz w:val="17"/>
        </w:rPr>
        <w:t>https://www.statsmodels.org/stable/generated/statsmodels.tsa.holtwinters.Holt.html</w:t>
      </w:r>
    </w:p>
    <w:p>
      <w:r>
        <w:rPr>
          <w:color w:val="1E293B"/>
          <w:sz w:val="18"/>
        </w:rPr>
        <w:t xml:space="preserve">statsmodels — Exponential Smoothing documentation — </w:t>
      </w:r>
      <w:r>
        <w:rPr>
          <w:color w:val="007F86"/>
          <w:sz w:val="17"/>
        </w:rPr>
        <w:t>https://www.statsmodels.org/stable/examples/notebooks/generated/exponential_smoothing.html</w:t>
      </w:r>
    </w:p>
    <w:p>
      <w:r>
        <w:rPr>
          <w:color w:val="1E293B"/>
          <w:sz w:val="18"/>
        </w:rPr>
        <w:t xml:space="preserve">scikit-learn — TimeSeriesSplit documentation — </w:t>
      </w:r>
      <w:r>
        <w:rPr>
          <w:color w:val="007F86"/>
          <w:sz w:val="17"/>
        </w:rPr>
        <w:t>https://scikit-learn.org/stable/modules/generated/sklearn.model_selection.TimeSeriesSplit.html</w:t>
      </w:r>
    </w:p>
    <w:p>
      <w:pPr>
        <w:pStyle w:val="Heading2"/>
        <w:spacing w:before="140" w:after="80"/>
      </w:pPr>
      <w:r>
        <w:rPr>
          <w:b/>
          <w:color w:val="007F86"/>
        </w:rPr>
        <w:t>10.1 Reproducible project files</w:t>
      </w:r>
    </w:p>
    <w:p>
      <w:pPr>
        <w:pStyle w:val="ListBullet"/>
        <w:spacing w:after="40"/>
      </w:pPr>
      <w:r>
        <w:rPr>
          <w:color w:val="1E293B"/>
          <w:sz w:val="19"/>
        </w:rPr>
        <w:t>src/week4_forecasting.py — reproducible model comparison and forecasting script.</w:t>
      </w:r>
    </w:p>
    <w:p>
      <w:pPr>
        <w:pStyle w:val="ListBullet"/>
        <w:spacing w:after="40"/>
      </w:pPr>
      <w:r>
        <w:rPr>
          <w:color w:val="1E293B"/>
          <w:sz w:val="19"/>
        </w:rPr>
        <w:t>notebooks/week4_forecasting.ipynb — interactive modelling notebook.</w:t>
      </w:r>
    </w:p>
    <w:p>
      <w:pPr>
        <w:pStyle w:val="ListBullet"/>
        <w:spacing w:after="40"/>
      </w:pPr>
      <w:r>
        <w:rPr>
          <w:color w:val="1E293B"/>
          <w:sz w:val="19"/>
        </w:rPr>
        <w:t>data/model_outputs/model_selection_validation.csv — all candidate validation results.</w:t>
      </w:r>
    </w:p>
    <w:p>
      <w:pPr>
        <w:pStyle w:val="ListBullet"/>
        <w:spacing w:after="40"/>
      </w:pPr>
      <w:r>
        <w:rPr>
          <w:color w:val="1E293B"/>
          <w:sz w:val="19"/>
        </w:rPr>
        <w:t>data/model_outputs/selected_model_summary.csv — selected models and error metrics.</w:t>
      </w:r>
    </w:p>
    <w:p>
      <w:pPr>
        <w:pStyle w:val="ListBullet"/>
        <w:spacing w:after="40"/>
      </w:pPr>
      <w:r>
        <w:rPr>
          <w:color w:val="1E293B"/>
          <w:sz w:val="19"/>
        </w:rPr>
        <w:t>data/model_outputs/forecast_outputs.csv — four-quarter point forecasts.</w:t>
      </w:r>
    </w:p>
    <w:p>
      <w:pPr>
        <w:pStyle w:val="ListBullet"/>
        <w:spacing w:after="40"/>
      </w:pPr>
      <w:r>
        <w:rPr>
          <w:color w:val="1E293B"/>
          <w:sz w:val="19"/>
        </w:rPr>
        <w:t>reports/week4/figures/ — forecast charts and diagnostics.</w:t>
      </w:r>
    </w:p>
    <w:p>
      <w:pPr>
        <w:pStyle w:val="ListBullet"/>
        <w:spacing w:after="40"/>
      </w:pPr>
      <w:r>
        <w:rPr>
          <w:color w:val="1E293B"/>
          <w:sz w:val="19"/>
        </w:rPr>
        <w:t>reports/week4/tables/ — forecast and model-selection tables.</w:t>
      </w:r>
    </w:p>
    <w:p>
      <w:pPr>
        <w:pStyle w:val="ListBullet"/>
        <w:spacing w:after="40"/>
      </w:pPr>
      <w:r>
        <w:rPr>
          <w:color w:val="1E293B"/>
          <w:sz w:val="19"/>
        </w:rPr>
        <w:t>reports/week4/portal_description.txt — 200+ word submission description.</w:t>
      </w:r>
    </w:p>
    <w:tbl>
      <w:tblPr>
        <w:tblW w:type="auto" w:w="0"/>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007F86"/>
                <w:sz w:val="19"/>
              </w:rPr>
              <w:t>Disclaimer</w:t>
            </w:r>
          </w:p>
          <w:p>
            <w:r>
              <w:rPr>
                <w:color w:val="1E293B"/>
                <w:sz w:val="18"/>
              </w:rPr>
              <w:t>Educational internship simulation using public financial data. Not investment advice. Forecasts are model outputs subject to data, specification and structural-break risk.</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TCS Peer Set — Forecasting &amp; Predictive Modeling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YUVAINTERN  |  JUNIOR FINANCIAL DATA ANALYST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