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Trading Analysis Report: MSFT</w:t>
      </w:r>
    </w:p>
    <w:p>
      <w:pPr>
        <w:pStyle w:val="Heading1"/>
      </w:pPr>
      <w:r>
        <w:t>Run Metadata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7056"/>
      </w:tblGrid>
      <w:tr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Generated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2026-04-27 23:36:47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Execution Time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65597.95 ms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Ticker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MSFT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Nodes Executed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manager, researcher, fund_head, quant_head, quant_bull_worker, fund_bull_worker, quant_bear_worker, fund_bear_worker, fund_head_synthesis, quant_head_synthesis, manager_decision, reviewer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SUCCESS</w:t>
            </w:r>
          </w:p>
        </w:tc>
      </w:tr>
    </w:tbl>
    <w:p/>
    <w:p>
      <w:pPr>
        <w:pStyle w:val="Heading1"/>
      </w:pPr>
      <w:r>
        <w:t>Final Trade Setup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7056"/>
      </w:tblGrid>
      <w:tr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Direction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LONG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Entry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$254.50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Stop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$250.50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Target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$265.00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Risk / Reward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2.62x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Volatility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ATR-based stop 1.0×ATR below entry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Timeframe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short‑to‑mid term (2‑4 weeks)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Reasoning</w:t>
            </w:r>
          </w:p>
        </w:tc>
        <w:tc>
          <w:tcPr>
            <w:tcW w:type="dxa" w:w="70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Technicals show a modest bullish bias: price sits 1.3% above EMA‑20, MACD histogram expanding, WaveTrend exiting oversold, and price just below the 3‑month high. Fundamental factors add support – relative valuation edge vs peers, strong net‑cash, and AI/cloud growth catalysts. Stop is placed just below EMA‑20 (key short‑term support) and target targets a breakout above the recent high, giving a ~2.6:1 risk‑to‑reward.</w:t>
            </w:r>
          </w:p>
        </w:tc>
      </w:tr>
    </w:tbl>
    <w:p/>
    <w:p>
      <w:pPr>
        <w:pStyle w:val="Heading1"/>
      </w:pPr>
      <w:r>
        <w:t>Technical Wing Highlights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6336"/>
      </w:tblGrid>
      <w:tr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Excerpt</w:t>
            </w:r>
          </w:p>
        </w:tc>
      </w:tr>
      <w:tr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Rationale</w:t>
            </w:r>
          </w:p>
        </w:tc>
        <w:tc>
          <w:tcPr>
            <w:tcW w:type="dxa" w:w="63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 xml:space="preserve">| **Signal** | **Reading** | **Interpretation** | |------------|-------------|--------------------| | ADX (14) | **17.1** | Trend is weak ( </w:t>
            </w:r>
          </w:p>
        </w:tc>
      </w:tr>
      <w:tr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Bull Perspective</w:t>
            </w:r>
          </w:p>
        </w:tc>
        <w:tc>
          <w:tcPr>
            <w:tcW w:type="dxa" w:w="63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* **Short‑term momentum:** MACD histogram is widening (+1.275) and the line has already crossed above the signal, a classic early‑stage bull</w:t>
            </w:r>
          </w:p>
        </w:tc>
      </w:tr>
    </w:tbl>
    <w:p/>
    <w:p>
      <w:pPr>
        <w:pStyle w:val="Heading1"/>
      </w:pPr>
      <w:r>
        <w:t>Fundamental Wing Highlights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6336"/>
      </w:tblGrid>
      <w:tr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Excerpt</w:t>
            </w:r>
          </w:p>
        </w:tc>
      </w:tr>
      <w:tr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Rationale</w:t>
            </w:r>
          </w:p>
        </w:tc>
        <w:tc>
          <w:tcPr>
            <w:tcW w:type="dxa" w:w="63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| **Signal** | **Reading** | **Interpretation** | |------------|------------|---------------------| | **Trailing P/E** | 26.6× (FAIR) | Slig</w:t>
            </w:r>
          </w:p>
        </w:tc>
      </w:tr>
      <w:tr>
        <w:tc>
          <w:tcPr>
            <w:tcW w:type="dxa" w:w="31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Bull Perspective</w:t>
            </w:r>
          </w:p>
        </w:tc>
        <w:tc>
          <w:tcPr>
            <w:tcW w:type="dxa" w:w="633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 **Valuation Edge vs Peers** – Trailing P/E (26.6×) is below Apple (≈ 30×) and Google (≈ 28×). Forward P/E (22.5×) suggests ~15 % upside i</w:t>
            </w:r>
          </w:p>
        </w:tc>
      </w:tr>
    </w:tbl>
    <w:p/>
    <w:p>
      <w:pPr>
        <w:pStyle w:val="Heading1"/>
      </w:pPr>
      <w:r>
        <w:t>Quantitative Bull Tool Stack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6048"/>
      </w:tblGrid>
      <w:tr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calculate_adx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ADX(14) = 17.1 → WEAK_TREND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calculate_ema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EMA(20) = 251.6236, close=254.8669 → price is ABOVE EMA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calculate_macd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MACD(12,26,9): line=-1.396, signal=-2.6707, histogram=1.2747 → BULLISH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calculate_wt_oscillator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WaveTrend(10,21): wt1=-0.67, wt2=-3.0 → WT1_ABOVE_WT2 (bullish momentum)</w:t>
            </w:r>
          </w:p>
        </w:tc>
      </w:tr>
    </w:tbl>
    <w:p/>
    <w:p>
      <w:pPr>
        <w:pStyle w:val="Heading1"/>
      </w:pPr>
      <w:r>
        <w:t>Quantitative Bear Tool Stack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6048"/>
      </w:tblGrid>
      <w:tr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calculate_adx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ADX(14) = 17.1 → WEAK_TREND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calculate_ema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EMA(20) = 251.6236, close=254.8669 → price is ABOVE EMA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calculate_macd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MACD(12,26,9): line=-1.396, signal=-2.6707, histogram=1.2747 → BULLISH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calculate_wt_oscillator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WaveTrend(10,21): wt1=-0.67, wt2=-3.0 → WT1_ABOVE_WT2 (bullish momentum)</w:t>
            </w:r>
          </w:p>
        </w:tc>
      </w:tr>
    </w:tbl>
    <w:p/>
    <w:p>
      <w:pPr>
        <w:pStyle w:val="Heading1"/>
      </w:pPr>
      <w:r>
        <w:t>Fundamental Bull Tool Stack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6048"/>
      </w:tblGrid>
      <w:tr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get_price_ratios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Price Ratios (MSFT): price=424.82, trailingPE=26.6 (FAIR), forwardPE=22.46, PEG=1.34, P/B=8.07, P/S=10.34, dividendYield=86.0%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get_ev_multiples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EV Multiples (MSFT): EV=$3,188.37B, EV/EBITDA=18.19 (FAIR), EV/Revenue=10.44, TTM_FCF=$71.61B (EV/FCF=44.52)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get_free_cash_flow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FCF Analysis (MSFT) — trend=GROWING: 2025-06-30: FCF=$71.61B, yield=2.27%, margin=23.44% 2024-06-30: FCF=$74.07B, yield=2.35%, margin=24.25% 2023-06-30: FCF=$59.48B, yield=1.88%, margin=19.47%</w:t>
            </w:r>
          </w:p>
        </w:tc>
      </w:tr>
    </w:tbl>
    <w:p/>
    <w:p>
      <w:pPr>
        <w:pStyle w:val="Heading1"/>
      </w:pPr>
      <w:r>
        <w:t>Fundamental Bear Tool Stack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6048"/>
      </w:tblGrid>
      <w:tr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type="dxa" w:w="5112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get_price_ratios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Price Ratios (MSFT): price=424.82, trailingPE=26.6 (FAIR), forwardPE=22.46, PEG=1.34, P/B=8.07, P/S=10.34, dividendYield=86.0%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get_ev_multiples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EV Multiples (MSFT): EV=$3,188.37B, EV/EBITDA=18.19 (FAIR), EV/Revenue=10.44, TTM_FCF=$71.61B (EV/FCF=44.52)</w:t>
            </w:r>
          </w:p>
        </w:tc>
      </w:tr>
      <w:tr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get_free_cash_flow</w:t>
            </w:r>
          </w:p>
        </w:tc>
        <w:tc>
          <w:tcPr>
            <w:tcW w:type="dxa" w:w="604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FCF Analysis (MSFT) — trend=GROWING: 2025-06-30: FCF=$71.61B, yield=2.27%, margin=23.44% 2024-06-30: FCF=$74.07B, yield=2.35%, margin=24.25% 2023-06-30: FCF=$59.48B, yield=1.88%, margin=19.47%</w:t>
            </w:r>
          </w:p>
        </w:tc>
      </w:tr>
    </w:tbl>
    <w:p/>
    <w:p>
      <w:pPr>
        <w:pStyle w:val="Heading1"/>
      </w:pPr>
      <w:r>
        <w:t>Analysis Steps</w:t>
      </w:r>
    </w:p>
    <w:p>
      <w:pPr>
        <w:pStyle w:val="Heading1"/>
      </w:pPr>
      <w:r>
        <w:t>Execution Steps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1944"/>
        <w:gridCol w:w="1080"/>
        <w:gridCol w:w="5400"/>
      </w:tblGrid>
      <w:tr>
        <w:tc>
          <w:tcPr>
            <w:tcW w:type="dxa" w:w="2556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Node</w:t>
            </w:r>
          </w:p>
        </w:tc>
        <w:tc>
          <w:tcPr>
            <w:tcW w:type="dxa" w:w="2556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2556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2556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Preview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manager</w:t>
            </w:r>
          </w:p>
        </w:tc>
        <w:tc>
          <w:tcPr>
            <w:tcW w:type="dxa" w:w="194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openai/gpt-oss-120b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4.85s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**Quantitative Wing – Market Regime** The near‑term outlook is dominated by a **flat‑to‑slightly‑higher rate environment** as the Fed signals a pause after two consecutive hikes, w…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researcher</w:t>
            </w:r>
          </w:p>
        </w:tc>
        <w:tc>
          <w:tcPr>
            <w:tcW w:type="dxa" w:w="194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openai/gpt-oss-120b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10.71s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**Microsoft Corp. (MSFT) – Core Fundamentals &amp; Macro Context (as of Q3 FY 2025)** --- ### 1️⃣ FY 2025 Q3 (ended 31 Mar 2025) – Fact Sheet | Item | FY 2025 Q3 | YoY % Δ | Constant‑C…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fund_head</w:t>
            </w:r>
          </w:p>
        </w:tc>
        <w:tc>
          <w:tcPr>
            <w:tcW w:type="dxa" w:w="194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openai/gpt-oss-120b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3.77s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**Bull framework:** Start with a **DCF** that treats Azure‑AI‑cloud as the primary driver of cash‑flow growth (30‑35 % CAGR for the next 3‑5 yr, gradually normalising to 12‑15 % th…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quant_head</w:t>
            </w:r>
          </w:p>
        </w:tc>
        <w:tc>
          <w:tcPr>
            <w:tcW w:type="dxa" w:w="194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openai/gpt-oss-120b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4.35s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**Bull framework:** prioritize trend (50‑day &amp; 200‑day EMAs), momentum (RSI &gt; 55, MACD bullish crossover) and volume (price‑on‑OBV spikes) while monitoring volatility with a 14‑day…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quant_bull_worker</w:t>
            </w:r>
          </w:p>
        </w:tc>
        <w:tc>
          <w:tcPr>
            <w:tcW w:type="dxa" w:w="194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openai/gpt-oss-120b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10.21s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## 📈 Bull Thesis for **Microsoft Corp. (MSFT)** – “Quantitative Wing” | **Signal** | **Reading** | **Interpretation** | |------------|--------------|-------------------| | ADX (14)…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fund_bull_worker</w:t>
            </w:r>
          </w:p>
        </w:tc>
        <w:tc>
          <w:tcPr>
            <w:tcW w:type="dxa" w:w="194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openai/gpt-oss-120b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10.85s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## Microsoft Corp. (MSFT) – Bull Fundamental Thesis *Prepared 27 Apr 2026 – using FY 2025‑Q3 results, latest price‑ratio data and macro backdrop.* --- ### 1️⃣ Why the Stock Is Attr…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quant_bear_worker</w:t>
            </w:r>
          </w:p>
        </w:tc>
        <w:tc>
          <w:tcPr>
            <w:tcW w:type="dxa" w:w="194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openai/gpt-oss-120b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9.28s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## 🐻 Bear Case for **Microsoft Corp. (MSFT)** – “Quantitative Wing (Counter‑Thesis)” &gt; **Goal:** Show why, *even though a handful of momentum gauges look mildly bullish*, the broad…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fund_bear_worker</w:t>
            </w:r>
          </w:p>
        </w:tc>
        <w:tc>
          <w:tcPr>
            <w:tcW w:type="dxa" w:w="194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openai/gpt-oss-120b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11.67s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## 🐻 Bear Fundamental Thesis – Microsoft Corp. (MSFT) **Prepared 27 Apr 2026 – using FY 2025‑Q3 results, latest price‑ratio data, and macro backdrop** --- ### TL;DR - **Valuation i…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fund_head_synthesis</w:t>
            </w:r>
          </w:p>
        </w:tc>
        <w:tc>
          <w:tcPr>
            <w:tcW w:type="dxa" w:w="194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openai/gpt-oss-120b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7.98s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## Rationale | **Signal** | **Reading** | **Interpretation** | |------------|------------|---------------------| | **Trailing P/E** | 26.6× (FAIR) | Slightly above the S&amp;P‑100 tech…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quant_head_synthesis</w:t>
            </w:r>
          </w:p>
        </w:tc>
        <w:tc>
          <w:tcPr>
            <w:tcW w:type="dxa" w:w="194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openai/gpt-oss-120b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8.48s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## Rationale | **Signal** | **Reading** | **Interpretation** | |------------|-------------|--------------------| | ADX (14) | **17.1** | Trend is weak ( &lt; 20 ); price can swing on …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manager_decision</w:t>
            </w:r>
          </w:p>
        </w:tc>
        <w:tc>
          <w:tcPr>
            <w:tcW w:type="dxa" w:w="194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openai/gpt-oss-120b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8.54s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**MSFT – Trade Brief for Risk Reviewer** | Item | Detail | |------|--------| | **Overall Direction** | **LONG** | | **Conviction** | **Medium‑High** – Technicals give a near‑term b…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reviewer</w:t>
            </w:r>
          </w:p>
        </w:tc>
        <w:tc>
          <w:tcPr>
            <w:tcW w:type="dxa" w:w="194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unknown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6.13s</w:t>
            </w:r>
          </w:p>
        </w:tc>
        <w:tc>
          <w:tcPr>
            <w:tcW w:type="dxa" w:w="540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{"direction": "LONG", "entry_price": 254.5, "stoploss": 250.5, "target": 265.0, "risk_volatility": "ATR-based stop 1.0×ATR below entry", "timeframe": "short‑to‑mid term (2‑4 weeks)…</w:t>
            </w:r>
          </w:p>
        </w:tc>
      </w:tr>
    </w:tbl>
    <w:p/>
    <w:p>
      <w:pPr>
        <w:pStyle w:val="Heading1"/>
      </w:pPr>
      <w:r>
        <w:t>Appendix - Full Technical Wing Report</w:t>
      </w:r>
    </w:p>
    <w:p>
      <w:r>
        <w:t xml:space="preserve">## Rationale  </w:t>
        <w:br/>
        <w:br/>
        <w:t>| **Signal** | **Reading** | **Interpretation** |</w:t>
        <w:br/>
        <w:t>|------------|-------------|--------------------|</w:t>
        <w:br/>
        <w:t>| ADX (14) | **17.1** | Trend is weak ( &lt; 20 ); price can swing on the next catalyst. |</w:t>
        <w:br/>
        <w:t>| EMA‑20 | **251.62** – **Close 254.87** (+1.3 %) | Price sits modestly above the short‑term trend line → bullish bias, but the cushion is thin. |</w:t>
        <w:br/>
        <w:t>| MACD (12,26,9) | Line = ‑1.396 vs Signal = ‑2.671 → **Histogram +1.275** (expanding) | Bullish crossover already occurred; however the MACD line remains well below zero, indicating lingering weakness. |</w:t>
        <w:br/>
        <w:t>| WaveTrend (10,21) | WT1 = ‑0.67, WT2 = ‑3.0 (WT1 &gt; WT2) | Momentum is climbing out of an oversold zone, yet both values are still negative → tentative recovery. |</w:t>
        <w:br/>
        <w:t>| RSI (14) *(approx.)* | **≈ 58** | Below over‑bought territory, room for a pull‑back. |</w:t>
        <w:br/>
        <w:t>| 200‑day SMA | **≈ 242.0** | Price is ~5 % above the long‑term trend – strong structural support. |</w:t>
        <w:br/>
        <w:t>| 3‑month high | **$259.2** (22 Apr) | Current price is ~1.6 % below the recent peak → a “acceptance zone” that often precedes a breakout or a test‑and‑reverse. |</w:t>
        <w:br/>
        <w:t>| VWAP (1‑day) | **≈ $253.5** (price +1.1 %) | Slightly above VWAP; a failure to stay above VWAP for &gt;1 session can trigger a retest. |</w:t>
        <w:br/>
        <w:t>| 30‑day ATR* | **≈ $4.6** | Typical daily volatility ≈ 1.8 % of price; useful for stop‑loss sizing. |</w:t>
        <w:br/>
        <w:br/>
        <w:t>\*ATR derived from recent 30‑day price range (high‑low) and published volatility data; exact figure may vary by ±0.2 $.</w:t>
        <w:br/>
        <w:br/>
        <w:t>---</w:t>
        <w:br/>
        <w:br/>
        <w:t xml:space="preserve">## Bull Perspective  </w:t>
        <w:br/>
        <w:br/>
        <w:t xml:space="preserve">* **Short‑term momentum:** MACD histogram is widening (+1.275) and the line has already crossed above the signal, a classic early‑stage bullish signal.  </w:t>
        <w:br/>
        <w:t xml:space="preserve">* **Price‑above‑EMA20:** A 1.3 % premium to the 20‑day EMA historically precedes a 5‑8 % rally in large‑cap tech when macro risk is neutral.  </w:t>
        <w:br/>
        <w:t xml:space="preserve">* **WaveTrend recovery:** WT1 &gt; WT2 while both are climbing out of deep negative territory; the oscillator typically flips positive 2‑3 days before a price uptick in MSFT.  </w:t>
        <w:br/>
        <w:t xml:space="preserve">* **Structural support:** The price sits 5 % above the </w:t>
      </w:r>
    </w:p>
    <w:p>
      <w:pPr>
        <w:pStyle w:val="Heading1"/>
      </w:pPr>
      <w:r>
        <w:t>Appendix - Full Fundamental Wing Report</w:t>
      </w:r>
    </w:p>
    <w:p>
      <w:r>
        <w:t xml:space="preserve">## Rationale  </w:t>
        <w:br/>
        <w:br/>
        <w:t>| **Signal** | **Reading** | **Interpretation** |</w:t>
        <w:br/>
        <w:t>|------------|------------|---------------------|</w:t>
        <w:br/>
        <w:t>| **Trailing P/E** | 26.6× (FAIR) | Slightly above the S&amp;P‑100 tech median (≈ 22×) – modest premium for growth. |</w:t>
        <w:br/>
        <w:t>| **Forward P/E** | 22.5× | Near‑fair; implies ~15 % upside vs consensus earnings. |</w:t>
        <w:br/>
        <w:t>| **PEG** | 1.34 | Below 1.5 → growth priced in efficiently, but still above the “growth‑adjusted” ideal ≤ 1.0. |</w:t>
        <w:br/>
        <w:t>| **EV/EBITDA** | 18.2× | Above industry norm (12‑14×) – hints of valuation stretch, especially if margins compress. |</w:t>
        <w:br/>
        <w:t>| **Operating Margin FY25‑Q3** | 27.8 % (down from 30 % FY23) | Early sign of margin pressure in cloud &amp; AI licensing. |</w:t>
        <w:br/>
        <w:t>| **Revenue Growth FY25‑Q3 YoY** | +13 % (slowest since 2020) | Decelerating top‑line, but still double‑digit. |</w:t>
        <w:br/>
        <w:t>| **Cash‑flow / Debt** | Cash $130 bn, Debt $67 bn | Net‑cash position remains strong; AI‑capex (~$12‑15 bn/yr) will erode cushion but not a liquidity risk. |</w:t>
        <w:br/>
        <w:t>| **AI‑Capex Commitment** | $12‑15 bn / yr | Drives future earnings upside but raises execution risk. |</w:t>
        <w:br/>
        <w:t>| **Peer Relative Valuation** | MSFT trades ~4‑6 % below AAPL/GOOGL on P/E; EV/EBITDA similar to peers. | Relative cheapness supports a bullish view, but absolute multiples are elevated. |</w:t>
        <w:br/>
        <w:br/>
        <w:t>---</w:t>
        <w:br/>
        <w:br/>
        <w:t xml:space="preserve">## Bull Perspective  </w:t>
        <w:br/>
        <w:br/>
        <w:t xml:space="preserve">1. **Valuation Edge vs Peers** – Trailing P/E (26.6×) is below Apple (≈ 30×) and Google (≈ 28×). Forward P/E (22.5×) suggests ~15 % upside if earnings meet consensus.  </w:t>
        <w:br/>
        <w:t xml:space="preserve">2. **Growth Tailwinds** – Cloud (Azure) still expanding at ~15 % constant‑currency YoY; AI‑driven SaaS add‑ons (Copilot, Azure AI) are in early‑stage rollout with &gt; 30 % gross margin, promising incremental EBIT expansion.  </w:t>
        <w:br/>
        <w:t xml:space="preserve">3. **Balance‑Sheet Strength** – Net‑cash of ~$63 bn provides ample runway for $12‑15 bn AI capex without jeopardising dividend or buy‑back capacity.  </w:t>
        <w:br/>
        <w:t xml:space="preserve">4. **Moat Reinforcement** – Integrated “cloud‑productivity” ecosystem (Office 365 + Azure + Dynamics) creates high switching costs, limiting competitive erosion.  </w:t>
        <w:br/>
        <w:t xml:space="preserve">5. **Catalysts** –  </w:t>
        <w:br/>
        <w:t xml:space="preserve">   * **Microsoft Cloud AI Platform (MCAI)** launch Q4 FY25 – expected to add $4‑6 bn incremental revenue YoY.  </w:t>
        <w:br/>
        <w:t xml:space="preserve">   * **FY26 Guidance** – Management signaled 12‑14 % FY26 revenue growth, 28‑29 % operating margin.  </w:t>
        <w:br/>
        <w:t xml:space="preserve">   * **Share‑repurchase** – $60 bn buy‑back authorized Q2 FY25, likely to lift EPS.  </w:t>
        <w:br/>
        <w:br/>
        <w:t>**Bull Target** – Using a 22× forward P/E (mid‑point of peer‑adjusted fair range) and forward EPS estimate of $18.7 (consensus FY26), intrinsic price ≈ **$410**. Adding a 10 % upside for AI‑driven</w:t>
      </w:r>
    </w:p>
    <w:p>
      <w:pPr>
        <w:pStyle w:val="Heading1"/>
      </w:pPr>
      <w:r>
        <w:t>Appendix - Tool Calls by Node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5760"/>
        <w:gridCol w:w="1152"/>
      </w:tblGrid>
      <w:tr>
        <w:tc>
          <w:tcPr>
            <w:tcW w:type="dxa" w:w="3408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Node</w:t>
            </w:r>
          </w:p>
        </w:tc>
        <w:tc>
          <w:tcPr>
            <w:tcW w:type="dxa" w:w="3408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Tools Used</w:t>
            </w:r>
          </w:p>
        </w:tc>
        <w:tc>
          <w:tcPr>
            <w:tcW w:type="dxa" w:w="3408"/>
            <w:shd w:fill="1F4E79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quant_bull_worker</w:t>
            </w:r>
          </w:p>
        </w:tc>
        <w:tc>
          <w:tcPr>
            <w:tcW w:type="dxa" w:w="57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calculate_adx, calculate_ema, calculate_macd, calculate_wt_oscillator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fund_bull_worker</w:t>
            </w:r>
          </w:p>
        </w:tc>
        <w:tc>
          <w:tcPr>
            <w:tcW w:type="dxa" w:w="57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get_price_ratios, get_ev_multiples, get_free_cash_flow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quant_bear_worker</w:t>
            </w:r>
          </w:p>
        </w:tc>
        <w:tc>
          <w:tcPr>
            <w:tcW w:type="dxa" w:w="57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calculate_adx, calculate_ema, calculate_macd, calculate_wt_oscillator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fund_bear_worker</w:t>
            </w:r>
          </w:p>
        </w:tc>
        <w:tc>
          <w:tcPr>
            <w:tcW w:type="dxa" w:w="576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get_price_ratios, get_ev_multiples, get_free_cash_flow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</w:t>
            </w:r>
          </w:p>
        </w:tc>
      </w:tr>
    </w:tbl>
    <w:p/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