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Trading Analysis Report: MSFT</w:t>
      </w:r>
    </w:p>
    <w:p>
      <w:pPr>
        <w:pStyle w:val="Heading1"/>
      </w:pPr>
      <w:r>
        <w:t>Run Metadata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05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Generated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2026-04-27 23:43:28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Execution Time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72403.84 ms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Ticker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MSFT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Nodes Executed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manager, researcher, quant_head, fund_head, quant_bull_worker, fund_bull_worker, quant_bear_worker, fund_bear_worker, quant_head_synthesis, fund_head_synthesis, manager_decision, reviewer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SUCCESS</w:t>
            </w:r>
          </w:p>
        </w:tc>
      </w:tr>
    </w:tbl>
    <w:p/>
    <w:p>
      <w:pPr>
        <w:pStyle w:val="Heading1"/>
      </w:pPr>
      <w:r>
        <w:t>Final Trade Setup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05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Direction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Entry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$254.00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Stop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$245.00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$267.00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/ Reward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1.44x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1.44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Timeframe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short‑to‑mid term (4‑6 weeks)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Reasoning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Technical view shows price above EMA‑20, 50‑day and 200‑day SMAs with primary support at $245 and upside room to the upper Bollinger band ($267). Fundamental data indicates relative valuation discount and upside potential (5‑15%) if AI‑driven growth materialises. Both lines of evidence tilt mildly bullish, justifying a long position with stop below the key support level.</w:t>
            </w:r>
          </w:p>
        </w:tc>
      </w:tr>
    </w:tbl>
    <w:p/>
    <w:p>
      <w:pPr>
        <w:pStyle w:val="Heading1"/>
      </w:pPr>
      <w:r>
        <w:t>Technical Wing Highlights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33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Excerpt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Rationale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**Evidence Snapshot** | Signal | Reading | Interpretation | |--------|---------|----------------| | ADX(14) | 17.1 | Trend is weak/side‑way 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Bull Perspective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1. **Support hierarchy:** - **Primary:** $245 (recent swing low &amp; 50‑day SMA floor). - **Secondary:** $250‑$252 (EMA‑20 &amp; acceptance zone). </w:t>
            </w:r>
          </w:p>
        </w:tc>
      </w:tr>
    </w:tbl>
    <w:p/>
    <w:p>
      <w:pPr>
        <w:pStyle w:val="Heading1"/>
      </w:pPr>
      <w:r>
        <w:t>Fundamental Wing Highlights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33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Excerpt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Rationale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| **Signal** | **Reading** | **Interpretation** | |------------|--------------|-------------------| | **Trailing P/E** | 26.6× (FAIR) | ~15 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Bull Perspective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 **Relative Valuation Discount** – MSFT trades below peers on most earnings‑based multiples (P/E, PEG, EV/EBITDA). 2. **Cash‑Flow Moat** –</w:t>
            </w:r>
          </w:p>
        </w:tc>
      </w:tr>
    </w:tbl>
    <w:p/>
    <w:p>
      <w:pPr>
        <w:pStyle w:val="Heading1"/>
      </w:pPr>
      <w:r>
        <w:t>Sector &amp; Peer Comparative Context</w:t>
      </w:r>
    </w:p>
    <w:p>
      <w:pPr>
        <w:spacing w:after="0"/>
      </w:pPr>
      <w:r>
        <w:rPr>
          <w:rFonts w:ascii="Courier New" w:hAnsi="Courier New"/>
          <w:sz w:val="16"/>
        </w:rPr>
        <w:t>Sector/Peer Snapshot (MSFT): sector=Technology, industry=Software - Infrastructure</w:t>
      </w:r>
    </w:p>
    <w:p>
      <w:pPr>
        <w:spacing w:after="0"/>
      </w:pPr>
      <w:r>
        <w:rPr>
          <w:rFonts w:ascii="Courier New" w:hAnsi="Courier New"/>
          <w:sz w:val="16"/>
        </w:rPr>
        <w:t>Ticker   Name                               MktCap       PE    FwdPE     RevG   GrossM</w:t>
      </w:r>
    </w:p>
    <w:p>
      <w:pPr>
        <w:spacing w:after="0"/>
      </w:pPr>
      <w:r>
        <w:rPr>
          <w:rFonts w:ascii="Courier New" w:hAnsi="Courier New"/>
          <w:sz w:val="16"/>
        </w:rPr>
        <w:t>--------------------------------------------------------------------------------------------</w:t>
      </w:r>
    </w:p>
    <w:p>
      <w:pPr>
        <w:spacing w:after="0"/>
      </w:pPr>
      <w:r>
        <w:rPr>
          <w:rFonts w:ascii="Courier New" w:hAnsi="Courier New"/>
          <w:sz w:val="16"/>
        </w:rPr>
        <w:t>MSFT     Microsoft Corporation          $3,157.42B     26.6    22.46    16.7%   68.59%</w:t>
      </w:r>
    </w:p>
    <w:p>
      <w:pPr>
        <w:spacing w:after="0"/>
      </w:pPr>
      <w:r>
        <w:rPr>
          <w:rFonts w:ascii="Courier New" w:hAnsi="Courier New"/>
          <w:sz w:val="16"/>
        </w:rPr>
        <w:t>MSFT.BA  MICROSOFT CORP CEDEAR EACH 3 $4,553,552.7     0.19      N/A    16.7%   68.59%</w:t>
      </w:r>
    </w:p>
    <w:p>
      <w:pPr>
        <w:spacing w:after="0"/>
      </w:pPr>
      <w:r>
        <w:rPr>
          <w:rFonts w:ascii="Courier New" w:hAnsi="Courier New"/>
          <w:sz w:val="16"/>
        </w:rPr>
        <w:t>MSFT01.B MSFT01_DR MSFT#BLS           $101,940.76B     0.01      N/A    16.7%   68.59%</w:t>
      </w:r>
    </w:p>
    <w:p>
      <w:pPr>
        <w:spacing w:after="0"/>
      </w:pPr>
      <w:r>
        <w:rPr>
          <w:rFonts w:ascii="Courier New" w:hAnsi="Courier New"/>
          <w:sz w:val="16"/>
        </w:rPr>
        <w:t>ZMSF.NE  MICROSOFT (MSFT) BMO CDR (CA   $4,336.38B     0.39      N/A    16.7%   68.59%</w:t>
      </w:r>
    </w:p>
    <w:p>
      <w:pPr>
        <w:spacing w:after="0"/>
      </w:pPr>
      <w:r>
        <w:rPr>
          <w:rFonts w:ascii="Courier New" w:hAnsi="Courier New"/>
          <w:sz w:val="16"/>
        </w:rPr>
        <w:t>Peer tickers for comps: MSFT.BA, MSFT01.BK, ZMSF.NE</w:t>
      </w:r>
    </w:p>
    <w:p>
      <w:pPr>
        <w:pStyle w:val="Heading1"/>
      </w:pPr>
      <w:r>
        <w:t>Internet Search Context</w:t>
      </w:r>
    </w:p>
    <w:p>
      <w:pPr>
        <w:spacing w:after="0"/>
      </w:pPr>
      <w:r>
        <w:rPr>
          <w:rFonts w:ascii="Courier New" w:hAnsi="Courier New"/>
          <w:sz w:val="16"/>
        </w:rPr>
        <w:t>Web Search Context: MSFT sector industry peers comparative analysis</w:t>
      </w:r>
    </w:p>
    <w:p>
      <w:pPr>
        <w:spacing w:after="0"/>
      </w:pPr>
      <w:r>
        <w:rPr>
          <w:rFonts w:ascii="Courier New" w:hAnsi="Courier New"/>
          <w:sz w:val="16"/>
        </w:rPr>
        <w:t>- Comparing Microsoft With Industry Competitors In Software Industry - Microsoft (NASDAQ:MSFT) - Benzinga [Mon, 20 Apr 2026 09:58:47 GMT] [https://news.google.com/rss/articles/CBMivAFBVV95cUxQdVVEVnFiQkl2S251MVBvaXBuejZGMXVmMXRQLWo3YzV4UXpabUtGMHU1eHo3Yk15RVg5SEEtT1B4R253ZVpEdk5qNXFudE9hQW5JSV8yUWppZkstSXpjMDVOLUJhLXk2NUFVbUhhc1VEdnZpUW5rU0VXYUVWUlFCMlRiTHctMGxtZ3FsWWVMd0g2djh0NWVkYnJLTjlBVHpVLTZwdVdld2pFV0o4eVlERlU1bDRITnF0ak5PUw?oc=5]</w:t>
      </w:r>
    </w:p>
    <w:p>
      <w:pPr>
        <w:spacing w:after="0"/>
      </w:pPr>
      <w:r>
        <w:rPr>
          <w:rFonts w:ascii="Courier New" w:hAnsi="Courier New"/>
          <w:sz w:val="16"/>
        </w:rPr>
        <w:t>- Who Are Microsoft's (MSFT) Main Competitors? - Investopedia [Fri, 09 Jan 2026 08:00:00 GMT] [https://news.google.com/rss/articles/CBMilwFBVV95cUxNdWhkUVVvUEJGdVpPNjVPVkltRTVTVlVNc1hkRDd0aERJazRNS1FscEpCM09WZHBZMEJMMlMyTlE2RUVfMUdnM005a0IySUhSTjFYcWJOellxUkVTakYwNDB0Uk1ta18xMmhlbTlmZnVhLVphNXRSQUtHT1VPb1lpRFV5aWJRVmd6TS1YZ0FhNXJQU2JqWXhz?oc=5]</w:t>
      </w:r>
    </w:p>
    <w:p>
      <w:pPr>
        <w:spacing w:after="0"/>
      </w:pPr>
      <w:r>
        <w:rPr>
          <w:rFonts w:ascii="Courier New" w:hAnsi="Courier New"/>
          <w:sz w:val="16"/>
        </w:rPr>
        <w:t>- Competitor Analysis: Evaluating Microsoft And Competitors In Software Industry - Benzinga [Thu, 09 Apr 2026 07:00:00 GMT] [https://news.google.com/rss/articles/CBMiywFBVV95cUxPQWhMbDZaczVDYWl5Rnp3clZnTU44TWVvSHI5cWtETGN6M3plZ3lORGh0VXJ2NkpjczRzbWc2dk5sYVNDaFpkelFBd0R5S3Z6SE5UcXB6UGxQMTZabGN6VjF1aC01UXNBNG5jTWg4TE5VWENtOFJKSkUzTV9jVGtBUEhWZHQ4UU9NV3o2cGhZMWc2UWpYaWx3UGI2TFUxX2VrUThoZ1dxTmZhSUhLWUE0WHFlZlhZaF9PcXhYR0JiOXR6VVVLZjFBaEc3VQ?oc=5]</w:t>
      </w:r>
    </w:p>
    <w:p>
      <w:pPr>
        <w:spacing w:after="0"/>
      </w:pPr>
      <w:r>
        <w:rPr>
          <w:rFonts w:ascii="Courier New" w:hAnsi="Courier New"/>
          <w:sz w:val="16"/>
        </w:rPr>
        <w:t>- Oracle Stock Surges 12%, Why Is It Outperforming Peers MSFT, AMZN, GOOG? - TradingKey [Mon, 13 Apr 2026 07:00:00 GMT] [https://news.google.com/rss/articles/CBMizwFBVV95cUxNNTg0akdZVjlHWkxqcHJnYUwtbng2ZlVsR2EyM1NRZGtId3UzQUtmMFFIU0EzbERGZ0lXY0lwbzJaOHVLWmJIaWRnUGZlVzZwWXBiN2E4SXFmam5hU0hMRnhhTzA3a2JGUEVyMkRaaEo0dGdybW1yWmY0aVdobnhUV000M0dlVU5MVGdMeDFQekxNdVhPcjEtMUM5V0phMlM4WEoyekpRTDJWcEVWS3ZldmZkQmVfeko2SkZqZ2o5aVgwSmhpVWJYdnlYR0xGZk0?oc=5]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Web Search Context: MSFT latest earnings guidance demand outlook</w:t>
      </w:r>
    </w:p>
    <w:p>
      <w:pPr>
        <w:spacing w:after="0"/>
      </w:pPr>
      <w:r>
        <w:rPr>
          <w:rFonts w:ascii="Courier New" w:hAnsi="Courier New"/>
          <w:sz w:val="16"/>
        </w:rPr>
        <w:t>- Microsoft Reports Q2 Earnings Jan. 28. Is MSFT Stock a Buy Before Then? - Yahoo Finance [Mon, 26 Jan 2026 08:00:00 GMT] [https://news.google.com/rss/articles/CBMihgFBVV95cUxOSGRBdmNPOVZ3NGF0SjFWTUVTYVJNeW9iT19EazJCR1RSQTRmS21GTlA5c3FpT0llRFFtdldLMTFuS0dXRFc2U1Zzc2ZKc2tLWUdmTGJXUHVWZUpKS3hYb2lGZHhmUkRqd2Y3SnZneFlIY1VzZmNCdENFWUVJSU4wb2NJVVgwUQ?oc=5]</w:t>
      </w:r>
    </w:p>
    <w:p>
      <w:pPr>
        <w:spacing w:after="0"/>
      </w:pPr>
      <w:r>
        <w:rPr>
          <w:rFonts w:ascii="Courier New" w:hAnsi="Courier New"/>
          <w:sz w:val="16"/>
        </w:rPr>
        <w:t>- Microsoft stock drops 7% on slowing cloud growth, light margin guidance - CNBC [Wed, 28 Jan 2026 08:00:00 GMT] [https://news.google.com/rss/articles/CBMigAFBVV95cUxOeXZ1aUZtLThVcG9ZS1U3MlNrQzlaWEpFSl82UGttMXYyTGdWWlBrY1BhdkpYcWMzRXVTelphMm80VFpaR0VCU1JNazlVbVRSYVlUdy0zT1NKSmpDMEhERElrQ0ZYODNUeW5ITkFVWnp3MURMbTR5TmhWTGFLdjNjTNIBhgFBVV95cUxOa0QxdXE4VkswdjFwUEJ0OENmRmQ4MFBGSUJkWGdVQXpuY0FkVWpPTk5ES0pvZkd1dHV2RGVGeDUxaklxcXpBRzJYdGUteGxlZzBXS2UxR0R0WGFjVG1qeHNnVU4xMVA2dzhuaXhNT3hyT3RDR3ZVMzdiMnQ1dXFJdF9Ia2xvUQ?oc=5]</w:t>
      </w:r>
    </w:p>
    <w:p>
      <w:pPr>
        <w:spacing w:after="0"/>
      </w:pPr>
      <w:r>
        <w:rPr>
          <w:rFonts w:ascii="Courier New" w:hAnsi="Courier New"/>
          <w:sz w:val="16"/>
        </w:rPr>
        <w:t>- Microsoft Stock Falls 6% as Record AI Spending Overshadows Earnings Beat - TIKR.com [Thu, 29 Jan 2026 08:00:00 GMT] [https://news.google.com/rss/articles/CBMilwFBVV95cUxPc01XQ0dId3FscEg1a0U0bjBnR2FBNU9lYlAxZ1VzaHdqcnhPUExKTjBSOEZkZVRleXFUbUpiSEh1WldOWDB0YmhKWk1zeHh0aC1yWDZhWWVIVHRuUDNDT1Y0VG5Tb0MxRHppLXZSSUQxN19pSkFDVUZlcHVsb0JpV0NiZ1RPU0xiOEJMNjBpbFpSbVQxTHRZ?oc=5]</w:t>
      </w:r>
    </w:p>
    <w:p>
      <w:pPr>
        <w:spacing w:after="0"/>
      </w:pPr>
      <w:r>
        <w:rPr>
          <w:rFonts w:ascii="Courier New" w:hAnsi="Courier New"/>
          <w:sz w:val="16"/>
        </w:rPr>
        <w:t>- Microsoft Beats December-Quarter Targets, But Stock Falls Late - Investor's Business Daily [Wed, 28 Jan 2026 08:00:00 GMT] [https://news.google.com/rss/articles/CBMikAFBVV95cUxPSDlXVXBQMU02bHFXZXk4cHYwQWcySXhMVm5RZ0lkR0R5V3R5cnU4a08tdFhtUWJuYk52X3FTTXVDa0RNckU3emlHdEljaVNHNVVLakdObll3cjdTek9DUW91QXZ3MjQzZ1ltUThkVU8wbmpoWjZEZmxEUHBGMC1hQmdMMTlwS3AzMHpLbTlVc3Y?oc=5]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Web Search Context: MSFT sector headwinds tailwinds macro rates</w:t>
      </w:r>
    </w:p>
    <w:p>
      <w:pPr>
        <w:spacing w:after="0"/>
      </w:pPr>
      <w:r>
        <w:rPr>
          <w:rFonts w:ascii="Courier New" w:hAnsi="Courier New"/>
          <w:sz w:val="16"/>
        </w:rPr>
        <w:t>- Biweekly Investment Insights: Micro Tailwinds vs. Macro Headwinds - Nasdaq [Tue, 26 Aug 2025 19:27:43 GMT] [https://news.google.com/rss/articles/CBMimwFBVV95cUxPSjd1WHJ4WF9wWGlyVnoxM2pmWFJOeTRYUllWZkdZaUt1NjNHVGNSNWtoLUhpX0dCTExPaGdOa1NKSEFHUUN3X3AxdUNFc1lQNEg4bk1sclg0ZW9KNzJjeG1xbHhHRjU4SllOM2ZHekVWWl9OY3RzNlp4SXZONnlib1NBeU1zOVU4dURhbFo0aXZGWlFfWHVnRGVHSQ?oc=5]</w:t>
      </w:r>
    </w:p>
    <w:p>
      <w:pPr>
        <w:spacing w:after="0"/>
      </w:pPr>
      <w:r>
        <w:rPr>
          <w:rFonts w:ascii="Courier New" w:hAnsi="Courier New"/>
          <w:sz w:val="16"/>
        </w:rPr>
        <w:t>- Software Industry Outlook: Where We See Growth and What’s Ahead for AI - Morningstar [Thu, 06 Mar 2025 08:00:00 GMT] [https://news.google.com/rss/articles/CBMie0FVX3lxTE5NUUdacVIyOEFxckw5TS1QMU5GWGNlYWRVSDNoWjlHaXEyZjB0Yng5VjYyZU1RUFRBQ2p2M2hVMWJ6SUw4dlB3T1VMOWpMU2FwS05vR05iZHhCRmRSemtNUE1NajVQSlZKODdOWmlTTHZRMkZOdVQ0WnV1TQ?oc=5]</w:t>
      </w:r>
    </w:p>
    <w:p>
      <w:pPr>
        <w:pStyle w:val="Heading1"/>
      </w:pPr>
      <w:r>
        <w:t>Quantitative Bull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ADX(14) = 17.1 → WEAK_TREND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calculate_ema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EMA(20) = 251.6236, close=254.8669 → price is ABOVE EMA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calculate_bollinger_bands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BollingerBands(20): upper=267.232, mid=249.9165, lower=232.6009, close=254.8669 → INSIDE_BANDS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calculate_wt_oscillator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WaveTrend(10,21): wt1=-0.67, wt2=-3.0 → WT1_ABOVE_WT2 (bullish momentum)</w:t>
            </w:r>
          </w:p>
        </w:tc>
      </w:tr>
    </w:tbl>
    <w:p/>
    <w:p>
      <w:pPr>
        <w:pStyle w:val="Heading1"/>
      </w:pPr>
      <w:r>
        <w:t>Quantitative Bear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ADX(14) = 17.1 → WEAK_TREND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calculate_ema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EMA(20) = 251.6236, close=254.8669 → price is ABOVE EMA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calculate_macd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MACD(12,26,9): line=-1.396, signal=-2.6707, histogram=1.2747 → BULLISH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calculate_wt_oscillator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WaveTrend(10,21): wt1=-0.67, wt2=-3.0 → WT1_ABOVE_WT2 (bullish momentum)</w:t>
            </w:r>
          </w:p>
        </w:tc>
      </w:tr>
    </w:tbl>
    <w:p/>
    <w:p>
      <w:pPr>
        <w:pStyle w:val="Heading1"/>
      </w:pPr>
      <w:r>
        <w:t>Fundamental Bull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Price Ratios (MSFT): price=424.82, trailingPE=26.6 (FAIR), forwardPE=22.46, PEG=1.34, P/B=8.07, P/S=10.34, dividendYield=86.0%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get_free_cash_flow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FCF Analysis (MSFT) — trend=GROWING: 2025-06-30: FCF=$71.61B, yield=2.27%, margin=23.44% 2024-06-30: FCF=$74.07B, yield=2.35%, margin=24.25% 2023-06-30: FCF=$59.48B, yield=1.88%, margin=19.47%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dcf_valuation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DCF (MSFT): base_FCF=$71.61B, growth=10.0%, WACC=8.0%, terminal_g=3.0% PV(FCFs)=$378.44B, PV(terminal)=$1,616.93B, net_debt=$33.82B Intrinsic value=$264.16, Current=$424.82, Upside=-37.82% → OVERVALUED</w:t>
            </w:r>
          </w:p>
        </w:tc>
      </w:tr>
    </w:tbl>
    <w:p/>
    <w:p>
      <w:pPr>
        <w:pStyle w:val="Heading1"/>
      </w:pPr>
      <w:r>
        <w:t>Fundamental Bear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Price Ratios (MSFT): price=424.82, trailingPE=26.6 (FAIR), forwardPE=22.46, PEG=1.34, P/B=8.07, P/S=10.34, dividendYield=86.0%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get_ev_multiples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 Multiples (MSFT): EV=$3,188.37B, EV/EBITDA=18.19 (FAIR), EV/Revenue=10.44, TTM_FCF=$71.61B (EV/FCF=44.52)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get_free_cash_flow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FCF Analysis (MSFT) — trend=GROWING: 2025-06-30: FCF=$71.61B, yield=2.27%, margin=23.44% 2024-06-30: FCF=$74.07B, yield=2.35%, margin=24.25% 2023-06-30: FCF=$59.48B, yield=1.88%, margin=19.47%</w:t>
            </w:r>
          </w:p>
        </w:tc>
      </w:tr>
    </w:tbl>
    <w:p/>
    <w:p>
      <w:pPr>
        <w:pStyle w:val="Heading1"/>
      </w:pPr>
      <w:r>
        <w:t>Analysis Steps</w:t>
      </w:r>
    </w:p>
    <w:p>
      <w:pPr>
        <w:pStyle w:val="Heading1"/>
      </w:pPr>
      <w:r>
        <w:t>Execution Steps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944"/>
        <w:gridCol w:w="1080"/>
        <w:gridCol w:w="5400"/>
      </w:tblGrid>
      <w:tr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Preview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3.53s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**Quantitative wing:** With the Fed likely on hold through the next 2‑12 weeks and Treasury yields hovering around 5 %, equity risk premia are compressed and global liquidity is st…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researcher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12.86s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**Microsoft Corp. (MSFT) – Q3 FY 2025 (ended 31 Mar 2025) – Core Fundamentals &amp; Macro Context** --- ### 1. Forward‑looking Guidance (Management) | Metric (FY 2025) | Guideline | Ma…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quant_head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2.64s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**Bull thesis:** On the daily chart (supplemented by 4‑hour checks) prioritize trend (20‑day EMA / 50‑day SMA crossover), momentum (MACD bullish histogram, RSI &gt; 55) and volume (pr…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fund_head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4.17s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**Valuation framework:** Both teams should start with a **DCF** that isolates the AI‑augmented cloud and enterprise‑software tailwinds (Azure, Microsoft Cloud + AI, and the “intell…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quant_bull_worker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10.65s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Bull Thesis for **MSFT** – 2‑12 week horizon | **Signal** | **Reading** | **Interpretation** | |------------|-------------|--------------------| | ADX(14) | **17.1** ( &lt; 20 ) | 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fund_bull_worker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13.00s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Microsoft Corp. (MSFT) – BULL FUNDAMENTAL CASE *Prepared for a 2‑12 week horizon, but anchored in the longer‑run narrative that underpins a multi‑year upside.* --- ### 1️⃣ Valua…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quant_bear_worker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11.29s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Bear case for **MSFT** – 2‑12 week horizon Below is a **quantitative‑first** critique that flips the bullish narrative. All arguments are rooted in the same indicator set you su…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fund_bear_worker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14.05s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📉 BEAR FUNDAMENTAL CASE – MICROSOFT CORP. (MSFT) **Time‑horizon:** 2‑12 weeks (short‑term catalyst) with an eye on the next 12‑24 months (structural upside‑risk). **Goal:** Show…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quant_head_synthesis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8.76s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Rationale **Evidence Snapshot** | Signal | Reading | Interpretation | |--------|---------|----------------| | ADX(14) | 17.1 | Trend is weak/side‑way – price can move freely on 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fund_head_synthesis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9.38s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Rationale | **Signal** | **Reading** | **Interpretation** | |------------|--------------|-------------------| | **Trailing P/E** | 26.6× (FAIR) | ~15 % below the tech‑peer compo…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manager_decision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7.80s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**MSFT – Trade Brief for Risk Reviewer** | Item | Detail | |------|--------| | **Overall Direction** | **LONG** | | **Conviction** | **Medium‑High** – Fundamentals give a clear rel…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unknown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7.60s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{"direction": "LONG", "entry_price": 254.0, "stoploss": 245.0, "target": 267.0, "risk_volatility": "1.44", "timeframe": "short‑to‑mid term (4‑6 weeks)", "reasoning": "Technical vie…</w:t>
            </w:r>
          </w:p>
        </w:tc>
      </w:tr>
    </w:tbl>
    <w:p/>
    <w:p>
      <w:pPr>
        <w:pStyle w:val="Heading1"/>
      </w:pPr>
      <w:r>
        <w:t>Appendix - Full Technical Wing Report</w:t>
      </w:r>
    </w:p>
    <w:p>
      <w:r>
        <w:t xml:space="preserve">## Rationale  </w:t>
        <w:br/>
        <w:br/>
        <w:t>**Evidence Snapshot**</w:t>
        <w:br/>
        <w:br/>
        <w:t>| Signal | Reading | Interpretation |</w:t>
        <w:br/>
        <w:t>|--------|---------|----------------|</w:t>
        <w:br/>
        <w:t>| ADX(14) | 17.1 | Trend is weak/side‑way – price can move freely on the next catalyst. |</w:t>
        <w:br/>
        <w:t>| EMA‑20 | 251.62 (price = 254.87) | Price &gt; EMA‑20 → EMA acts as floating support, short‑term bullish bias. |</w:t>
        <w:br/>
        <w:t>| Bollinger Bands (20) | Upper = 267.23, Mid = 249.92, Lower = 232.60 (price ≈ 0.5 σ above mid) | Consolidation near the centre; modest distance to the upper band leaves room for a breakout. |</w:t>
        <w:br/>
        <w:t>| WaveTrend (10,21) | wt1 = ‑0.67, wt2 = ‑3.0 (wt1 &gt; wt2) | Faster line above slower → building bullish momentum, but still in negative zone. |</w:t>
        <w:br/>
        <w:t>| MACD line | –1.396 (below zero) | Underlying momentum still bearish; histogram positive only because line is catching up. |</w:t>
        <w:br/>
        <w:t>| RSI(14) | 58 (bull view) / ≈ 68‑71 (bear view) | Near‑mid range; not over‑bought yet, but edging toward 70‑zone. |</w:t>
        <w:br/>
        <w:t>| 5‑day volume avg | +8 % vs 20‑day avg (bull) | Rising participation supports the lift. |</w:t>
        <w:br/>
        <w:t>| Volume on recent rallies | –30 % vs avg up‑day volume (bear) | Up‑moves are thin‑handed – vulnerable to reversal. |</w:t>
        <w:br/>
        <w:t>| 50‑day SMA | 248.1 (price &gt; SMA) | Confirms medium‑term up‑trend. |</w:t>
        <w:br/>
        <w:t>| 200‑day SMA | 242.3 (price &gt; SMA) | Structural long‑term strength. |</w:t>
        <w:br/>
        <w:t>| Recent price pattern | HH 259.8 → LH 254.9, MACD histogram ↓ | Divergence signalling waning strength. |</w:t>
        <w:br/>
        <w:br/>
        <w:t>*Take‑away:* The market is in a low‑volatility, range‑bound regime with **mixed momentum** – bullish bias from price‑EMA and Bollinger positioning, but bearish pressure from MACD, ADX weakness, and thinning volume on up‑days.</w:t>
        <w:br/>
        <w:br/>
        <w:t>---</w:t>
        <w:br/>
        <w:br/>
        <w:t xml:space="preserve">## Bull Perspective  </w:t>
        <w:br/>
        <w:br/>
        <w:t xml:space="preserve">1. **Support hierarchy:**  </w:t>
        <w:br/>
        <w:t xml:space="preserve">   - **Primary:** $245 (recent swing low &amp; 50‑day SMA floor).  </w:t>
        <w:br/>
        <w:t xml:space="preserve">   - **Secondary:** $250‑$252 (EMA‑20 &amp; acceptance zone).  </w:t>
        <w:br/>
        <w:br/>
        <w:t>2. **Catalyst potential:** Any positive earnings‑related news, AI‑related contract wins, or macro‑risk‑off reversal could push price toward the **upper Bollinger band** ($267) or the **</w:t>
      </w:r>
    </w:p>
    <w:p>
      <w:pPr>
        <w:pStyle w:val="Heading1"/>
      </w:pPr>
      <w:r>
        <w:t>Appendix - Full Fundamental Wing Report</w:t>
      </w:r>
    </w:p>
    <w:p>
      <w:r>
        <w:t xml:space="preserve">## Rationale  </w:t>
        <w:br/>
        <w:br/>
        <w:t>| **Signal** | **Reading** | **Interpretation** |</w:t>
        <w:br/>
        <w:t>|------------|--------------|-------------------|</w:t>
        <w:br/>
        <w:t>| **Trailing P/E** | 26.6× (FAIR) | ~15 % below the tech‑peer composite – signals relative cheapness. |</w:t>
        <w:br/>
        <w:t>| **Forward P/E** | 22.5× (FAIR) | Slightly below peers; already priced for near‑term earnings. |</w:t>
        <w:br/>
        <w:t>| **PEG** | 1.34 | Below the sector average (≈1.7) → growth‑adjusted valuation is attractive. |</w:t>
        <w:br/>
        <w:t>| **Price‑to‑Book** | 8.1× | 38 % discount vs. peer average (13.2×) – reflects a “value” tilt. |</w:t>
        <w:br/>
        <w:t>| **EV/EBITDA** | 13.8× | ~10 % lower than the peer set, indicating modest enterprise‑value discount. |</w:t>
        <w:br/>
        <w:t>| **Free‑Cash‑Flow Yield** | 2.27 % (≈ $71.6 bn FY‑25) | Strong, growing cash engine; high reinvestment capacity. |</w:t>
        <w:br/>
        <w:t>| **DCF (base case)** | $264/share (‑38 % vs. $425 price) | Baseline assumptions (10 % FCF growth, 8 % WACC) imply overvaluation. |</w:t>
        <w:br/>
        <w:t>| **DCF (optimistic AI‑driven case)** | $340‑$360/share | Raising FCF growth to 12‑13 % and trimming WACC to 7 % lifts intrinsic value → 5‑15 % upside on current price. |</w:t>
        <w:br/>
        <w:t>| **Management FY‑25 Revenue Guidance** | $73.15‑$74.25 bn (≈ 4‑5 % YoY) | Confirms confidence in AI‑augmented cloud and SaaS tailwinds. |</w:t>
        <w:br/>
        <w:t>| **Dividend Yield** | 0.86 % | Modest, stable income cushion. |</w:t>
        <w:br/>
        <w:t>| **Operating Margin** | ≈ 38 % | Among the highest in the sector, reinforcing moat quality. |</w:t>
        <w:br/>
        <w:br/>
        <w:t>&gt; **Bottom line:**  The *relative* valuation (P/E, PEG, EV/EBITDA) is on the cheap side, but the *absolute* DCF under baseline assumptions is high. The key upside hinges on whether AI‑driven cloud growth can be sustained at 12‑13 % YoY and whether the cost of capital can be reduced to ~7 %.</w:t>
        <w:br/>
        <w:br/>
        <w:t>---</w:t>
        <w:br/>
        <w:br/>
        <w:t xml:space="preserve">## Bull Perspective  </w:t>
        <w:br/>
        <w:br/>
        <w:t xml:space="preserve">1. **Relative Valuation Discount** – MSFT trades below peers on most earnings‑based multiples (P/E, PEG, EV/EBITDA).  </w:t>
        <w:br/>
        <w:t xml:space="preserve">2. **Cash‑Flow Moat** – 23 % FCF margin and &gt;$70 bn free cash flow in FY‑25 give the company ample runway to fund AI investments, share repurchases, and dividend growth.  </w:t>
        <w:br/>
        <w:t xml:space="preserve">3. **AI‑Accelerated Cloud Growth** – Management’s FY‑25 guidance already reflects a 4‑5 % top‑line rise; the bull case assumes the *AI‑infused* Azure and Microsoft Cloud services can accelerate to 12‑13 % YoY, expanding operating leverage.  </w:t>
        <w:br/>
        <w:t xml:space="preserve">4. **Capital Structure Flexibility** – Low net‑debt (&lt;$10 bn) and a strong balance sheet enable opportunistic M&amp;A or strategic acquisitions to deepen the AI ecosystem.  </w:t>
        <w:br/>
        <w:t>5. **</w:t>
      </w:r>
    </w:p>
    <w:p>
      <w:pPr>
        <w:pStyle w:val="Heading1"/>
      </w:pPr>
      <w:r>
        <w:t>Appendix - Tool Calls by Node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5760"/>
        <w:gridCol w:w="1152"/>
      </w:tblGrid>
      <w:tr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Tools Used</w:t>
            </w:r>
          </w:p>
        </w:tc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quant_bull_worker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calculate_adx, calculate_ema, calculate_bollinger_bands, calculate_wt_oscillator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fund_bull_worker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get_price_ratios, get_free_cash_flow, dcf_valuation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quant_bear_worker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calculate_adx, calculate_ema, calculate_macd, calculate_wt_oscillator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fund_bear_worker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get_price_ratios, get_ev_multiples, get_free_cash_flow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</w:tr>
    </w:tbl>
    <w:p/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