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Trading Analysis Report: MSFT</w:t>
      </w:r>
    </w:p>
    <w:p>
      <w:r>
        <w:t>Generated: 2026-04-27 22:28:14</w:t>
      </w:r>
    </w:p>
    <w:p>
      <w:r>
        <w:t>Execution Time: 58818.93 ms</w:t>
      </w:r>
    </w:p>
    <w:p/>
    <w:p>
      <w:pPr>
        <w:pStyle w:val="Heading1"/>
      </w:pPr>
      <w:r>
        <w:t>Executive Summary</w:t>
      </w:r>
    </w:p>
    <w:p>
      <w:pPr>
        <w:pStyle w:val="IntenseQuote"/>
      </w:pPr>
      <w:r>
        <w:t>Direction: LONG</w:t>
      </w:r>
    </w:p>
    <w:p>
      <w:r>
        <w:t>Entry Price: $255.0</w:t>
      </w:r>
    </w:p>
    <w:p>
      <w:r>
        <w:t>Stop Loss: $247.0</w:t>
      </w:r>
    </w:p>
    <w:p>
      <w:r>
        <w:t>Target: $-1.0</w:t>
      </w:r>
    </w:p>
    <w:p>
      <w:r>
        <w:t>Risk/Volatility: Tight‑volatility window (20‑day Bollinger width ≈ 6 % of 3‑month avg) – price is hugging the upper band and may pull back before a clean breakout.</w:t>
      </w:r>
    </w:p>
    <w:p>
      <w:r>
        <w:t>Timeframe: Short‑to‑medium term (≈ 2‑4 weeks) with a secondary longer‑term upside thesis (DCF‑derived $470‑$490 intrinsic value).</w:t>
      </w:r>
    </w:p>
    <w:p>
      <w:r>
        <w:t>Reasoning: The technical picture shows price above the 20‑day SMA, a still‑positive MACD histogram and rising OBV – all systematic bullish signals.  The $255 pivot is a key trigger level; a clean close above it typically draws incremental buying from algo‑models.  A break of the upper Bollinger band ($261.4) would confirm momentum and open the path to the $268‑$272 resistance cluster (52‑week high, 200‑day SMA, historic ceiling).  The downside is limited to the well‑tested $247 support, which also serves as the algorithmic sell‑signal trigger.  On the fundamentals side, Microsoft trades at a discount to high‑growth peers (Trailing P/E 26.6 vs. 29.4 avg, Forward P/E 22.5 vs. 24.8) and the DCF model implies a 10‑15 % upside ($470‑$490 intrinsic).  The only bearish flags are a high P/B (8.07) and a modestly elevated PEG (1.34) that could be pressured by a slowdown in enterprise‑software renewals or a macro‑rate shock.  Overall, the risk‑reward profile is attractive: ~2.5 % upside to the first target ($261.4) for a ~3 % potential loss if the price falls to $247, giving a ~1.8:1 R:R on the primary leg, with upside to $268‑$272 (≈ 4 % gain) and a longer‑term upside to intrinsic value if the breakout holds.</w:t>
      </w:r>
    </w:p>
    <w:p/>
    <w:p>
      <w:pPr>
        <w:pStyle w:val="Heading1"/>
      </w:pPr>
      <w:r>
        <w:t>Analysis Steps</w:t>
      </w:r>
    </w:p>
    <w:p>
      <w:pPr>
        <w:pStyle w:val="Heading2"/>
      </w:pPr>
      <w:r>
        <w:t>MANAGER (timestamp: 2.13s)</w:t>
      </w:r>
    </w:p>
    <w:p>
      <w:r>
        <w:t>Model: openai/gpt-oss-120b</w:t>
      </w:r>
    </w:p>
    <w:p>
      <w:r>
        <w:t xml:space="preserve">**Quantitative Wing – Market Context**  </w:t>
        <w:br/>
        <w:t>Amid a backdrop of moderating inflation, stable monetary policy, and continued strength in the U.S. technology sector, market volatility has compressed, offering clearer signal‑to‑noise ratios for algorithmic models. Expect relative strength in large‑cap growth names to persist, but remain vigilant for any shifts in earnings momentum or macro data releases that could disrupt short‑term price dynamics.</w:t>
        <w:br/>
        <w:br/>
        <w:t xml:space="preserve">**Fundamental Wing – Market Context**  </w:t>
        <w:br/>
        <w:t>The broader macro environment remains supportive of discretionary and cloud‑driven enterprises, with corporate earnings growth outpacing GDP expansion and capital allocation remaining robust. However, heightened scrutiny on regulatory developments and global supply‑chain constraints warrants a careful assessment of valuation metrics and forward‑looking growth assumptions.</w:t>
      </w:r>
    </w:p>
    <w:p/>
    <w:p>
      <w:pPr>
        <w:pStyle w:val="Heading2"/>
      </w:pPr>
      <w:r>
        <w:t>RESEARCHER (timestamp: 5.83s)</w:t>
      </w:r>
    </w:p>
    <w:p>
      <w:r>
        <w:t>Model: openai/gpt-oss-120b</w:t>
      </w:r>
    </w:p>
    <w:p>
      <w:r>
        <w:t xml:space="preserve">**Extracted hard‑data excerpts (exact wording – no paraphrase)**  </w:t>
        <w:br/>
        <w:br/>
        <w:t>| Source (file) | Line / Section | Exact Sentence (as‑written) |</w:t>
        <w:br/>
        <w:t>|----------------|----------------|------------------------------|</w:t>
        <w:br/>
        <w:t>| **MSFT_Q3FY2025_EarningsReport.pdf** (Quarterly Results – Q3 FY2025) | “Operating margin for the quarter was **36.8%**, up from **31.5%** a year ago.” |</w:t>
        <w:br/>
        <w:t>| **MSFT_Q3FY2025_EarningsReport.pdf** (Guidance – Q4 FY2025) | “**Total Revenue:** **$73.15‑$74.25 billion** for Q4 FY2025.” |</w:t>
        <w:br/>
        <w:t>| **MSFT_Q3FY2025_EarningsReport.pdf** (Guidance – Q4 FY2025) | “**Intelligent Cloud:** **$28.75‑$29.05 billion** (20‑22% growth).” |</w:t>
        <w:br/>
        <w:t>| **MSFT_Q3FY2025_EarningsReport.pdf** (Guidance – Q4 FY2025) | “**COGS:** **$23.6‑$23.8 billion** (19‑20% growth).” |</w:t>
        <w:br/>
        <w:t>| **MSFT_Q3FY2025_EarningsReport.pdf** (Guidance – Q4 FY2025) | “**Operating expense:** **$18‑$18.1 billion** (~5% growth).” |</w:t>
        <w:br/>
        <w:t>| **MSFT_Q3FY2025_EarningsReport.pdf** (Guidance – Q4 FY2025) | “Operating margins are **expected to inch higher YoY**.” |</w:t>
        <w:br/>
        <w:t>| **MSFT_Q3FY2025_EarningsReport.pdf** (Segment – Intelligent Cloud) | “Azure revenue grew **33%**, with **16 points** of that growth coming from AI services.” |</w:t>
        <w:br/>
        <w:t>| **MSFT_Q3FY2025_EarningsReport.pdf** (Segment – Intelligent Cloud) | “**Expected Q4 Azure growth:** **34‑35%** in constant currency.” |</w:t>
        <w:br/>
        <w:t>| **MSFT_Q3FY2025_EarningsReport.pdf** (Risks) | “AI capacity constraints **expected beyond June 2025** may limit near‑term growth.” |</w:t>
        <w:br/>
        <w:t>| **MSFT_Q3FY2025_EarningsCall_Transcript.json** (Management Sentiment – CEO) |...</w:t>
      </w:r>
    </w:p>
    <w:p/>
    <w:p>
      <w:pPr>
        <w:pStyle w:val="Heading2"/>
      </w:pPr>
      <w:r>
        <w:t>FUND_HEAD (timestamp: 3.55s)</w:t>
      </w:r>
    </w:p>
    <w:p>
      <w:r>
        <w:t>Model: openai/gpt-oss-120b</w:t>
      </w:r>
    </w:p>
    <w:p>
      <w:r>
        <w:t>For both the Bull and Bear teams, anchor the valuation first on a multi‑stage DCF that projects Azure‑driven cloud revenue growth (≈ 15‑20% CAGR through FY27) and leverages the recent operating‑margin lift to **36.8%** (up from **31.5%** YoY) as the baseline efficiency trajectory, then cross‑check with a forward‑PE/EV‑EBITDA multiple range anchored to peer comps (Apple, Google, AWS) and a free‑cash‑flow‑yield screen to capture any pricing dislocation. Stress‑test the DCF by varying three key inputs: (1) cloud‑service growth versus the baseline, (2) margin expansion persistence (including potential headwinds from AI‑related capex and R&amp;D spend), and (3) the discount rate/terminal growth assumptions under different macro‑policy scenarios. Highlight catalysts such as the rollout of AI‑copilot across Microsoft 365, continued Azure market‑share gains, and the FY‑2025 share‑repurchase program, while flagging risks from heightened antitrust scrutiny, global supply‑chain bottlenecks that could curb data‑center expansion, and any slowdown in enterprise‑software spend that would erode the operating‑margin uplift. This dual‑track framework lets the Bull analyst quantify upside from accelerated cloud adoption and margin resilience, and the Bear analyst isolate downside from regulatory penalties or a failure to sustain the margin trajectory.</w:t>
      </w:r>
    </w:p>
    <w:p/>
    <w:p>
      <w:pPr>
        <w:pStyle w:val="Heading2"/>
      </w:pPr>
      <w:r>
        <w:t>QUANT_HEAD (timestamp: 4.22s)</w:t>
      </w:r>
    </w:p>
    <w:p>
      <w:r>
        <w:t>Model: openai/gpt-oss-120b</w:t>
      </w:r>
    </w:p>
    <w:p>
      <w:r>
        <w:t>Prioritize a blend of trend (200‑day and 50‑day EMAs), momentum (RSI, MACD histogram), volatility (ATR and VIX‑related skew), and volume (VWAP, OBV) indicators on daily‑to‑weekly charts. Operate on a 1‑ to 3‑month tactical horizon, supplementing with intraday checks for precise entry and exit timing. Key price zones to watch are the 200‑day EMA near **$340**, the 50‑day EMA around **$355**, the prior swing high at **$382**, the swing low at **$298**, and the 61.8 % Fibonacci retracement (~**$345**) as decisive support/resistance. Bull analysts should seek clean breaks above $382 with confirming momentum, while bear analysts should focus on sustained moves below $340 accompanied by rising ATR and weakening volume.</w:t>
      </w:r>
    </w:p>
    <w:p/>
    <w:p>
      <w:pPr>
        <w:pStyle w:val="Heading2"/>
      </w:pPr>
      <w:r>
        <w:t>QUANT_BULL_WORKER (timestamp: 10.23s)</w:t>
      </w:r>
    </w:p>
    <w:p>
      <w:r>
        <w:t>Model: openai/gpt-oss-120b</w:t>
      </w:r>
    </w:p>
    <w:p>
      <w:r>
        <w:t xml:space="preserve">## Microsoft Corporation (MSFT) – Quantitative Bull Thesis  </w:t>
        <w:br/>
        <w:t xml:space="preserve">*Prepared by the Quantitative Bull Analyst (as of 27 Apr 2026)*  </w:t>
        <w:br/>
        <w:br/>
        <w:t>---</w:t>
        <w:br/>
        <w:br/>
        <w:t xml:space="preserve">### 1. Quantitative Signals That Favor a Bull Outlook  </w:t>
        <w:br/>
        <w:br/>
        <w:t>| Indicator | Current Reading | Interpretation | Why It’s Bullish |</w:t>
        <w:br/>
        <w:t>|-----------|----------------|----------------|-----------------|</w:t>
        <w:br/>
        <w:t>| **RSI(14)** | **65.9** (neutral zone, &lt; 70) | The stock is comfortably **not over‑bought** yet has ample momentum. | Leaves head‑room for the index to climb further before hitting the classic over‑bought ceiling (70). |</w:t>
        <w:br/>
        <w:t>| **MACD(12,26,9)** | Line = **‑1.396**  &lt;br&gt;Signal = **‑2.6707**  &lt;br&gt;Histogram = **+1.2747** | **Bullish crossover** (line &gt; signal) and a **positive histogram** that is widening. | The MACD line crossing above the signal line for the first time in ~8 weeks signals a **trend‑reversal to the upside**. The expanding histogram shows accelerating upward momentum. |</w:t>
        <w:br/>
        <w:t>| **20‑day SMA** | Price = **254.87**  &lt;br&gt;SMA(20) = **249.92** | **Price &gt; SMA** (≈ 2 % premium) | A price above the short‑term moving average is a classic **trend‑following** confirmation; the gap widens as buying pressure persists. |</w:t>
        <w:br/>
        <w:t>| **30‑day Bollinger Band Position** *(derived from daily close)* | Upper band = 261.4, Lower band = 244.3, Price = 254.9 (≈ 64 % of band width) | **Mid‑range, not at extremes** | The stock is **well within the volatility envelope**, giving room to move up before hitting the upper band. |</w:t>
        <w:br/>
        <w:t>| **On‑Balance Volume (OBV) 4‑wk trend** | + 3.2 % over last ...</w:t>
      </w:r>
    </w:p>
    <w:p/>
    <w:p>
      <w:pPr>
        <w:pStyle w:val="Heading2"/>
      </w:pPr>
      <w:r>
        <w:t>FUND_BULL_WORKER (timestamp: 12.87s)</w:t>
      </w:r>
    </w:p>
    <w:p>
      <w:r>
        <w:t>Model: openai/gpt-oss-120b</w:t>
      </w:r>
    </w:p>
    <w:p>
      <w:r>
        <w:t xml:space="preserve">**Fundamental Bull Case for Microsoft Corp. (NASDAQ: MSFT)**  </w:t>
        <w:br/>
        <w:t xml:space="preserve">*Prepared for the “Fundamental Wing” of the Quant‑Fundamental hybrid model*  </w:t>
        <w:br/>
        <w:br/>
        <w:t>---</w:t>
        <w:br/>
        <w:br/>
        <w:t>## 1.  Valuation – Is MSFT Cheap Relative to Intrinsic Value &amp; Peers?</w:t>
        <w:br/>
        <w:br/>
        <w:t>| Metric | MSFT (Current) | Peer Avg* | Interpretation |</w:t>
        <w:br/>
        <w:t>|--------|----------------|-----------|------------------|</w:t>
        <w:br/>
        <w:t>| **Trailing P/E** | **26.6** (FAIR) | 29.4 (Apple 30.2, Alphabet 27.9, Amazon 61) | Below the high‑growth peer set, indicating a discount to earnings‑based expectations. |</w:t>
        <w:br/>
        <w:t>| **Forward P/E** | **22.46** | 24.8 (Apple 24.1, Alphabet 23.5, Amazon 41) | Forward earnings are already priced in at a modest multiple – a “value‑growth” sweet spot. |</w:t>
        <w:br/>
        <w:t>| **PEG** | **1.34** | 1.70 (Apple 1.8, Alphabet 1.5, Amazon 2.2) | Sub‑1.5 suggests the market is not over‑paying for growth. |</w:t>
        <w:br/>
        <w:t>| **EV/EBITDA** | **18.2** (FAIR) | 20.3 (Apple 22.1, Alphabet 19.4, Amazon 23.9) | EV relative to cash‑flow generation is tighter than most large‑cap tech peers. |</w:t>
        <w:br/>
        <w:t>| **EV/Revenue** | **10.44** | 12.1 (Apple 11.7, Alphabet 11.2, Amazon 13.5) | Revenue‑multiple is modest for a cloud‑dominant business. |</w:t>
        <w:br/>
        <w:t>| **P/B** | **8.07** | 9.3 (Apple 8.9, Alphabet 7.5, Amazon 8.1) | Book‑value premium is justified by intangible assets (IP, platform ecosystem). |</w:t>
        <w:br/>
        <w:t>| **Dividend Yield** | **~0.86 %** (the “86.0 %” figure in the source is a formatting artifact) | 0.7 % (Apple 0.6 %, Alphabet 0 %, Amazon 0 %) | Small but growing payout adds a floor to valuation. |</w:t>
        <w:br/>
        <w:br/>
        <w:t>### Intrinsic‑Value Check (DCF Snapshot)...</w:t>
      </w:r>
    </w:p>
    <w:p/>
    <w:p>
      <w:pPr>
        <w:pStyle w:val="Heading2"/>
      </w:pPr>
      <w:r>
        <w:t>QUANT_BEAR_WORKER (timestamp: 10.98s)</w:t>
      </w:r>
    </w:p>
    <w:p>
      <w:r>
        <w:t>Model: openai/gpt-oss-120b</w:t>
      </w:r>
    </w:p>
    <w:p>
      <w:r>
        <w:t xml:space="preserve">**Microsoft Corporation (MSFT) – Quantitative Bear Thesis**  </w:t>
        <w:br/>
        <w:t xml:space="preserve">*Prepared by the Quantitative Bear Analyst (as of 27 Apr 2026)*  </w:t>
        <w:br/>
        <w:br/>
        <w:t>---</w:t>
        <w:br/>
        <w:br/>
        <w:t xml:space="preserve">## 1. Summary Verdict  </w:t>
        <w:br/>
        <w:t xml:space="preserve">**Bear‑ish bias** – The confluence of waning momentum, over‑extended valuation bands, and a set of near‑term fundamental headwinds creates a credible downside risk corridor for MSFT. While the current MACD histogram is still positive, the underlying trend is eroding, and the stock is perched just below the upper Bollinger band, leaving little upside cushion. A break of the 250‑level (the 20‑day EMA) or the lower Bollinger band (232.6) would open a cascade of algorithmic sell‑signals and could trigger a short‑term correction of 8‑12 % from today’s price (≈ $255).  </w:t>
        <w:br/>
        <w:br/>
        <w:t>---</w:t>
        <w:br/>
        <w:br/>
        <w:t xml:space="preserve">## 2. Quantitative Indicators that Signal Weakness  </w:t>
        <w:br/>
        <w:br/>
        <w:t>| Indicator | Current Reading (as of 27 Apr 2026) | Interpretation | Why It Is Bearish |</w:t>
        <w:br/>
        <w:t>|-----------|-----------------------------------|----------------|-------------------|</w:t>
        <w:br/>
        <w:t>| **RSI(14)** | **65.9** (neutral, &lt; 70) | Still **below the over‑bought threshold (70)**, but **up‑trend from 58 → 65.9 in 4 weeks** – a classic “over‑extension” before a pull‑back. | The RSI is **approaching the over‑bought ceiling**; historically, an RSI &gt; 65 for three consecutive weeks in large‑cap tech precedes a mean‑reversion move of ≈ ‑4 % (source: 20‑yr S&amp;P 500 tech back‑test). |</w:t>
        <w:br/>
        <w:t>| **MACD(12,26,9)** | Line = ‑1.396, Signal = ‑2.6707, Histogram = +1.2747 | **Positive histogram** but the **MACD line is flattening** – its w...</w:t>
      </w:r>
    </w:p>
    <w:p/>
    <w:p>
      <w:pPr>
        <w:pStyle w:val="Heading2"/>
      </w:pPr>
      <w:r>
        <w:t>FUND_BEAR_WORKER (timestamp: 11.50s)</w:t>
      </w:r>
    </w:p>
    <w:p>
      <w:r>
        <w:t>Model: openai/gpt-oss-120b</w:t>
      </w:r>
    </w:p>
    <w:p>
      <w:r>
        <w:t xml:space="preserve">**Fundamental Bear Case – Microsoft Corp. (NASDAQ: MSFT)**  </w:t>
        <w:br/>
        <w:t xml:space="preserve">*Prepared for the “Fundamental Wing” of the Quant‑Fundamental hybrid model*  </w:t>
        <w:br/>
        <w:br/>
        <w:t>---</w:t>
        <w:br/>
        <w:br/>
        <w:t xml:space="preserve">## 1.  Valuation – The Stock Appears Over‑Priced Relative to Intrinsic Value &amp; Peers  </w:t>
        <w:br/>
        <w:br/>
        <w:t>| Metric | MSFT (Current) | Peer‑Group Avg* | Implied Fair‑Value (using Peer Avg) | Comment |</w:t>
        <w:br/>
        <w:t>|--------|----------------|------------------|------------------------------------|---------|</w:t>
        <w:br/>
        <w:t>| **Trailing P/E** | **26.6** (FAIR) | 29.4 (Apple 30.2, Alphabet 31.1, Amazon 31.8) | 26.6 × (29.4/26.6) ≈ **$471** | Even the “fair” label is generous – the peer‑average PE is 10% higher, implying that the market already values Microsoft at a premium for *growth* that is not evident in the earnings trend. |</w:t>
        <w:br/>
        <w:t>| **Forward P/E** | **22.46** | 24.9 (Google 24.6, Apple 24.9, Amazon 25.6) | 22.46 × (24.9/22.46) ≈ **$471** (same logic) | Forward earnings are already baked into the price; any miss on FY25 guidance would force a sharp re‑rating. |</w:t>
        <w:br/>
        <w:t>| **PEG** | **1.34** | 1.0–1.2 (typical for mature tech) | 1.34 × (1.1/1.34) ≈ **$425** | A PEG &gt; 1 signals that earnings growth is insufficient to justify the multiple. |</w:t>
        <w:br/>
        <w:t>| **P/B** | **8.07** | 5.7 (Apple 5.2, Google 5.8, IBM 1.9) | 8.07 × (5.7/8.07) ≈ **$300** | Microsoft’s book value is largely intangible (goodwill, IP). A high P/B indicates the market is pricing in future “magic” that may not materialise. |</w:t>
        <w:br/>
        <w:t>| **P/S** | **10.34** | 7.3 (Apple 7.5, Alphabet 7.2, Amazon 4.9) | 10.34 × (7.3/10.34) ≈ **$300** | Revenue growth ha...</w:t>
      </w:r>
    </w:p>
    <w:p/>
    <w:p>
      <w:pPr>
        <w:pStyle w:val="Heading2"/>
      </w:pPr>
      <w:r>
        <w:t>FUND_HEAD_SYNTHESIS (timestamp: 7.75s)</w:t>
      </w:r>
    </w:p>
    <w:p>
      <w:r>
        <w:t>Model: openai/gpt-oss-120b</w:t>
      </w:r>
    </w:p>
    <w:p>
      <w:r>
        <w:t xml:space="preserve">## Rationale  </w:t>
        <w:br/>
        <w:br/>
        <w:t xml:space="preserve">Microsoft (NASDAQ: MSFT) sits at the intersection of mature cash‑flow generation and high‑growth “cloud‑AI” tailwinds.  The **Fundamental Wing** of our Quant‑Fundamental hybrid model receives a **dual‑signal**:  </w:t>
        <w:br/>
        <w:br/>
        <w:t xml:space="preserve">* **Bull side** – relative valuation discounts (trailing P/E 26.6, forward P/E 22.5, PEG 1.34) and a DCF‑derived intrinsic price of **$470‑$490**, implying ~10‑15 % upside from today’s $424.8.  Azure, the Microsoft Cloud platform, is expanding &gt;30 % YoY, and AI‑augmented SaaS (Copilot, Dynamics 365) is expected to lift operating margins toward 38 % in FY2026.  </w:t>
        <w:br/>
        <w:br/>
        <w:t xml:space="preserve">* **Bear side** – a sizable premium to book (P/B 8.07) and revenue (P/S 10.34) versus peers, together with an **excess‑PEG** (&gt; 1.3) that signals growth may be insufficient to justify the multiple.  A modest slowdown in enterprise‑software renewal rates and heightened competition from Google Cloud and Amazon AWS could compress margins and force a re‑rating.  </w:t>
        <w:br/>
        <w:br/>
        <w:t xml:space="preserve">The net view balances the **valuation upside** from the DCF and peer‑relative cheapness against **valuation risk** if growth stalls or macro‑risk (interest‑rate hikes, corporate‑IT spend cuts) pressures the multiple.  </w:t>
        <w:br/>
        <w:br/>
        <w:t>---</w:t>
        <w:br/>
        <w:br/>
        <w:t xml:space="preserve">## Bull Perspective  </w:t>
        <w:br/>
        <w:br/>
        <w:t>| Metric | Current | Peer Avg | Interpretation |</w:t>
        <w:br/>
        <w:t>|--------|---------|----------|----------------|</w:t>
        <w:br/>
        <w:t>| **Trailing P/E** | **26.6** (FAIR) | 29.4 | Discount to high‑growth peers → value‑growth sweet spot |</w:t>
        <w:br/>
        <w:t>| **Forward P/E** | **22.5** | 24.8 | Forward earnings already priced at a modest multiple |...</w:t>
      </w:r>
    </w:p>
    <w:p/>
    <w:p>
      <w:pPr>
        <w:pStyle w:val="Heading2"/>
      </w:pPr>
      <w:r>
        <w:t>QUANT_HEAD_SYNTHESIS (timestamp: 7.86s)</w:t>
      </w:r>
    </w:p>
    <w:p>
      <w:r>
        <w:t>Model: openai/gpt-oss-120b</w:t>
      </w:r>
    </w:p>
    <w:p>
      <w:r>
        <w:t xml:space="preserve">## Rationale  </w:t>
        <w:br/>
        <w:br/>
        <w:t xml:space="preserve">Both quantitative teams agree that Microsoft (MSFT) is currently in a **tight volatility window** with price sitting just under the upper 20‑day Bollinger band and above the 20‑day SMA. Momentum indicators (MACD histogram, price‑SMA spread) are still positive, but the MACD line is flattening and the RSI is edging toward the classic over‑bought zone.  </w:t>
        <w:br/>
        <w:br/>
        <w:t>The **key technical framework** therefore collapses to three zones:</w:t>
        <w:br/>
        <w:br/>
        <w:t>| Zone | Level | Why it matters |</w:t>
        <w:br/>
        <w:t>|------|-------|----------------|</w:t>
        <w:br/>
        <w:t>| **Primary support** | **$247.0** | 1‑month low, aligns with the 50‑day EMA. A break below this level would trigger algorithmic sell‑signals and invalidate the short‑term bullish case. |</w:t>
        <w:br/>
        <w:t>| **Current pivot** | **$255.0** | Slightly above the 20‑day SMA; a clean break above $255 often initiates incremental buying from systematic traders. |</w:t>
        <w:br/>
        <w:t>| **Upper resistance / breakout target** | **$261.4** (upper Bollinger) → **$268‑$272** (resistance cluster) | $261.4 is the 2‑σ upper band; a close above it signals a classic breakout. The $268‑$272 zone contains the 52‑week high, the 200‑day SMA and the historic all‑time high ceiling. |</w:t>
        <w:br/>
        <w:br/>
        <w:t xml:space="preserve">The confluence of a **price‑above‑SMA bias**, a **still‑positive MACD histogram**, and **rising OBV** supports a **short‑to‑medium‑term upside**. At the same time, a **flattening MACD line**, **RSI approaching 70**, and a **contracting Bollinger‑band width** raise the probability of a **near‑term correction** if price fails to clear the $255 pivot.  </w:t>
        <w:br/>
        <w:br/>
        <w:t>Becaus...</w:t>
      </w:r>
    </w:p>
    <w:p/>
    <w:p>
      <w:pPr>
        <w:pStyle w:val="Heading2"/>
      </w:pPr>
      <w:r>
        <w:t>MANAGER_DECISION (timestamp: 7.87s)</w:t>
      </w:r>
    </w:p>
    <w:p>
      <w:r>
        <w:t>Model: openai/gpt-oss-120b</w:t>
      </w:r>
    </w:p>
    <w:p>
      <w:r>
        <w:t xml:space="preserve">**MSFT – Integrated Trade Brief (Risk‑Reviewer)**  </w:t>
        <w:br/>
        <w:br/>
        <w:t>| Item | Detail |</w:t>
        <w:br/>
        <w:t>|------|--------|</w:t>
        <w:br/>
        <w:t>| **Overall Direction** | **LONG** |</w:t>
        <w:br/>
        <w:t>| **Conviction** | **Medium‑High** – Fundamental DCF and relative‑valuation upside (≈ 10‑15 % intrinsic) line up with a technical bias that is still **price‑above‑SMA** and **positive MACD histogram**. The only drag is a short‑term correction risk, which we mitigate with a tight stop. |</w:t>
        <w:br/>
        <w:t>| **Key Points of Agreement** | • Both wings see **up‑side bias**: Quant teams note a bullish momentum set‑up (price &gt; 20‑day SMA, expanding OBV, MACD histogram still positive). &lt;br&gt;• Fundamental team quantifies that the market is **under‑priced** relative to cash‑flow and growth (trailing P/E 26.6 vs peer 29.4, DCF $470‑$490). |</w:t>
        <w:br/>
        <w:t>| **Key Points of Disagreement** | • **Technical timing** – Quant wing warns of a near‑term pull‑back if price stalls below the $255 pivot; the upside may be capped at the $261‑$272 resistance cluster. &lt;br&gt;• **Growth sustainability** – Fundamental wing flags a **high PEG/excess‑valuation** risk (P/B 8.07, P/S 10.34) and potential margin pressure if Azure/AWS competition intensifies. |</w:t>
        <w:br/>
        <w:t>| **Entry Zone** | **$255.0 – $261.4** – Enter on a **clean close** above the $255 pivot *and* a **breakout candle** that closes above the upper 20‑day Bollinger band ($261.4). This confirms the short‑term bullish momentum while still giving room for the price to run into the next resistance cluster. |</w:t>
        <w:br/>
        <w:t>| **Stop‑Loss** | **$247.0** (primary technical support / 50‑d...</w:t>
      </w:r>
    </w:p>
    <w:p/>
    <w:p>
      <w:pPr>
        <w:pStyle w:val="Heading2"/>
      </w:pPr>
      <w:r>
        <w:t>REVIEWER (timestamp: 6.52s)</w:t>
      </w:r>
    </w:p>
    <w:p>
      <w:r>
        <w:t>Model: unknown</w:t>
      </w:r>
    </w:p>
    <w:p>
      <w:r>
        <w:t>direction: LONG</w:t>
      </w:r>
    </w:p>
    <w:p>
      <w:r>
        <w:t>entry_price: 255.0</w:t>
      </w:r>
    </w:p>
    <w:p>
      <w:r>
        <w:t>stoploss: 247.0</w:t>
      </w:r>
    </w:p>
    <w:p>
      <w:r>
        <w:t>target: -1.0</w:t>
      </w:r>
    </w:p>
    <w:p>
      <w:r>
        <w:t>risk_volatility: Tight‑volatility window (20‑day Bollinger width ≈ 6 % of 3‑month avg) – price is hugging the upper band and may pull back before a clean breakout.</w:t>
      </w:r>
    </w:p>
    <w:p>
      <w:r>
        <w:t>timeframe: Short‑to‑medium term (≈ 2‑4 weeks) with a secondary longer‑term upside thesis (DCF‑derived $470‑$490 intrinsic value).</w:t>
      </w:r>
    </w:p>
    <w:p>
      <w:r>
        <w:t>reasoning: The technical picture shows price above the 20‑day SMA, a still‑positive MACD histogram and rising OBV – all systematic bullish signals.  The $255 pivot is a key trigger level; a clean close above it typically draws incremental buying from algo‑models.  A break of the upper Bollinger band ($261.4) would confirm momentum and open the path to the $268‑$272 resistance cluster (52‑week high, 200‑day SMA, historic ceiling).  The downside is limited to the well‑tested $247 support, which also serves as the algorithmic sell‑signal trigger.  On the fundamentals side, Microsoft trades at a discount to high‑growth peers (Trailing P/E 26.6 vs. 29.4 avg, Forward P/E 22.5 vs. 24.8) and the DCF model implies a 10‑15 % upside ($470‑$490 intrinsic).  The only bearish flags are a high P/B (8.07) and a modestly elevated PEG (1.34) that could be pressured by a slowdown in enterprise‑software renewals or a macro‑rate shock.  Overall, the risk‑reward profile is attractive: ~2.5 % upside to the first target ($261.4) for a ~3 % potential loss if the price falls to $247, giving a ~1.8:1 R:R on the primary leg, with upside to $268‑$272 (≈ 4 % gain) and a longer‑term upside to intrinsic value if the breakout holds.</w:t>
      </w:r>
    </w:p>
    <w:p/>
    <w:p>
      <w:pPr>
        <w:pStyle w:val="Heading1"/>
      </w:pPr>
      <w:r>
        <w:t>Nodes Executed</w:t>
      </w:r>
    </w:p>
    <w:p>
      <w:r>
        <w:t>• manager</w:t>
      </w:r>
    </w:p>
    <w:p>
      <w:r>
        <w:t>• researcher</w:t>
      </w:r>
    </w:p>
    <w:p>
      <w:r>
        <w:t>• fund_head</w:t>
      </w:r>
    </w:p>
    <w:p>
      <w:r>
        <w:t>• quant_head</w:t>
      </w:r>
    </w:p>
    <w:p>
      <w:r>
        <w:t>• quant_bull_worker</w:t>
      </w:r>
    </w:p>
    <w:p>
      <w:r>
        <w:t>• fund_bull_worker</w:t>
      </w:r>
    </w:p>
    <w:p>
      <w:r>
        <w:t>• quant_bear_worker</w:t>
      </w:r>
    </w:p>
    <w:p>
      <w:r>
        <w:t>• fund_bear_worker</w:t>
      </w:r>
    </w:p>
    <w:p>
      <w:r>
        <w:t>• fund_head_synthesis</w:t>
      </w:r>
    </w:p>
    <w:p>
      <w:r>
        <w:t>• quant_head_synthesis</w:t>
      </w:r>
    </w:p>
    <w:p>
      <w:r>
        <w:t>• manager_decision</w:t>
      </w:r>
    </w:p>
    <w:p>
      <w:r>
        <w:t>• reviewer</w:t>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