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3891613"/>
    <w:p w14:paraId="530C5288" w14:textId="1C788B14" w:rsidR="00F164BE" w:rsidRDefault="00F164BE" w:rsidP="00CF33C1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fldChar w:fldCharType="begin"/>
      </w:r>
      <w:r>
        <w:rPr>
          <w:rFonts w:ascii="Garamond" w:hAnsi="Garamond"/>
          <w:sz w:val="28"/>
        </w:rPr>
        <w:instrText xml:space="preserve"> HYPERLINK "</w:instrText>
      </w:r>
      <w:r w:rsidRPr="00F164BE">
        <w:rPr>
          <w:rFonts w:ascii="Garamond" w:hAnsi="Garamond"/>
          <w:sz w:val="28"/>
        </w:rPr>
        <w:instrText>https://engineering.purdue.edu/mapserve/LTHIA7/documentation/scs.htm</w:instrText>
      </w:r>
      <w:r>
        <w:rPr>
          <w:rFonts w:ascii="Garamond" w:hAnsi="Garamond"/>
          <w:sz w:val="28"/>
        </w:rPr>
        <w:instrText xml:space="preserve">" </w:instrText>
      </w:r>
      <w:r>
        <w:rPr>
          <w:rFonts w:ascii="Garamond" w:hAnsi="Garamond"/>
          <w:sz w:val="28"/>
        </w:rPr>
        <w:fldChar w:fldCharType="separate"/>
      </w:r>
      <w:r w:rsidRPr="00622181">
        <w:rPr>
          <w:rStyle w:val="Hyperlink"/>
          <w:rFonts w:ascii="Garamond" w:hAnsi="Garamond"/>
          <w:sz w:val="28"/>
        </w:rPr>
        <w:t>https://engineering.purdue.edu/mapserve/LTHIA7/documentation/scs.htm</w:t>
      </w:r>
      <w:r>
        <w:rPr>
          <w:rFonts w:ascii="Garamond" w:hAnsi="Garamond"/>
          <w:sz w:val="28"/>
        </w:rPr>
        <w:fldChar w:fldCharType="end"/>
      </w:r>
    </w:p>
    <w:p w14:paraId="629B87F0" w14:textId="03BAFB6D" w:rsidR="007A35C0" w:rsidRDefault="007A35C0" w:rsidP="00CF33C1">
      <w:pPr>
        <w:jc w:val="both"/>
        <w:rPr>
          <w:rFonts w:ascii="Garamond" w:hAnsi="Garamond"/>
          <w:sz w:val="28"/>
        </w:rPr>
      </w:pPr>
      <w:hyperlink r:id="rId5" w:history="1">
        <w:r w:rsidRPr="00622181">
          <w:rPr>
            <w:rStyle w:val="Hyperlink"/>
            <w:rFonts w:ascii="Garamond" w:hAnsi="Garamond"/>
            <w:sz w:val="28"/>
          </w:rPr>
          <w:t>https://en.wikipedia.org/wiki/Runoff_curve_number</w:t>
        </w:r>
      </w:hyperlink>
    </w:p>
    <w:p w14:paraId="2D42923A" w14:textId="1376E3C2" w:rsidR="00D50F6D" w:rsidRDefault="00CF33C1" w:rsidP="00CF33C1">
      <w:pPr>
        <w:jc w:val="both"/>
        <w:rPr>
          <w:rFonts w:ascii="Garamond" w:hAnsi="Garamond"/>
          <w:sz w:val="28"/>
        </w:rPr>
      </w:pPr>
      <w:bookmarkStart w:id="1" w:name="_Hlk3845020"/>
      <w:bookmarkEnd w:id="0"/>
      <w:r>
        <w:rPr>
          <w:rFonts w:ascii="Garamond" w:hAnsi="Garamond"/>
          <w:sz w:val="28"/>
        </w:rPr>
        <w:t>SWRRB stands for Simulator for Water resources in rural basins. It has now been expanded for generic areas as well. This model was developed to mathematically simulate</w:t>
      </w:r>
      <w:r w:rsidR="002712FE">
        <w:rPr>
          <w:rFonts w:ascii="Garamond" w:hAnsi="Garamond"/>
          <w:sz w:val="28"/>
        </w:rPr>
        <w:t xml:space="preserve"> </w:t>
      </w:r>
      <w:r>
        <w:rPr>
          <w:rFonts w:ascii="Garamond" w:hAnsi="Garamond"/>
          <w:sz w:val="28"/>
        </w:rPr>
        <w:t>various factions of the hydrological cycle.</w:t>
      </w:r>
      <w:r w:rsidR="002712FE">
        <w:rPr>
          <w:rFonts w:ascii="Garamond" w:hAnsi="Garamond"/>
          <w:sz w:val="28"/>
        </w:rPr>
        <w:t xml:space="preserve"> </w:t>
      </w:r>
      <w:r w:rsidR="00A55AB8">
        <w:rPr>
          <w:rFonts w:ascii="Garamond" w:hAnsi="Garamond"/>
          <w:sz w:val="28"/>
        </w:rPr>
        <w:t>The objective was that, with the help of th</w:t>
      </w:r>
      <w:r w:rsidR="007A39C8">
        <w:rPr>
          <w:rFonts w:ascii="Garamond" w:hAnsi="Garamond"/>
          <w:sz w:val="28"/>
        </w:rPr>
        <w:t>ese</w:t>
      </w:r>
      <w:r w:rsidR="00A55AB8">
        <w:rPr>
          <w:rFonts w:ascii="Garamond" w:hAnsi="Garamond"/>
          <w:sz w:val="28"/>
        </w:rPr>
        <w:t xml:space="preserve"> simulation</w:t>
      </w:r>
      <w:r w:rsidR="007A39C8">
        <w:rPr>
          <w:rFonts w:ascii="Garamond" w:hAnsi="Garamond"/>
          <w:sz w:val="28"/>
        </w:rPr>
        <w:t>s</w:t>
      </w:r>
      <w:r w:rsidR="00A55AB8">
        <w:rPr>
          <w:rFonts w:ascii="Garamond" w:hAnsi="Garamond"/>
          <w:sz w:val="28"/>
        </w:rPr>
        <w:t xml:space="preserve">, we </w:t>
      </w:r>
      <w:r w:rsidR="001D460C">
        <w:rPr>
          <w:rFonts w:ascii="Garamond" w:hAnsi="Garamond"/>
          <w:sz w:val="28"/>
        </w:rPr>
        <w:t>could</w:t>
      </w:r>
      <w:r w:rsidR="00A55AB8">
        <w:rPr>
          <w:rFonts w:ascii="Garamond" w:hAnsi="Garamond"/>
          <w:sz w:val="28"/>
        </w:rPr>
        <w:t xml:space="preserve"> accurately quantify the effects of </w:t>
      </w:r>
      <w:r w:rsidR="00F860EC">
        <w:rPr>
          <w:rFonts w:ascii="Garamond" w:hAnsi="Garamond"/>
          <w:sz w:val="28"/>
        </w:rPr>
        <w:t xml:space="preserve">change in various parameters (of the equations) on the hydrological cycle, which would have </w:t>
      </w:r>
      <w:r w:rsidR="00246F03">
        <w:rPr>
          <w:rFonts w:ascii="Garamond" w:hAnsi="Garamond"/>
          <w:sz w:val="28"/>
        </w:rPr>
        <w:t>arisen</w:t>
      </w:r>
      <w:r w:rsidR="00F860EC">
        <w:rPr>
          <w:rFonts w:ascii="Garamond" w:hAnsi="Garamond"/>
          <w:sz w:val="28"/>
        </w:rPr>
        <w:t xml:space="preserve"> due to change in management practices.</w:t>
      </w:r>
    </w:p>
    <w:p w14:paraId="258A6F9E" w14:textId="157AD5F8" w:rsidR="00B623CB" w:rsidRDefault="00B623CB" w:rsidP="00CF33C1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For achieving this objective, the simulator had to be:</w:t>
      </w:r>
    </w:p>
    <w:p w14:paraId="330CDABF" w14:textId="71BA0D06" w:rsidR="00246F03" w:rsidRDefault="00246F03" w:rsidP="00B623CB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Empirical-based, backed with science</w:t>
      </w:r>
    </w:p>
    <w:p w14:paraId="58439114" w14:textId="77777777" w:rsidR="00246F03" w:rsidRDefault="00246F03" w:rsidP="00B623CB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Computationally capable of quantifying the effects of changes in conditions</w:t>
      </w:r>
    </w:p>
    <w:p w14:paraId="05CA35D1" w14:textId="7D229B37" w:rsidR="00B623CB" w:rsidRDefault="00246F03" w:rsidP="00B623CB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Computationally efficient </w:t>
      </w:r>
    </w:p>
    <w:p w14:paraId="33A9785B" w14:textId="65D55433" w:rsidR="00385953" w:rsidRDefault="00385953" w:rsidP="00B623CB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Capable for simulating long periods, for use in frequency analysis.</w:t>
      </w:r>
    </w:p>
    <w:p w14:paraId="440C1373" w14:textId="7D37EB7A" w:rsidR="007D4C90" w:rsidRDefault="000147AE" w:rsidP="007D4C90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Surface run</w:t>
      </w:r>
      <w:r w:rsidR="00364007">
        <w:rPr>
          <w:rFonts w:ascii="Garamond" w:hAnsi="Garamond"/>
          <w:sz w:val="28"/>
        </w:rPr>
        <w:t>-</w:t>
      </w:r>
      <w:r>
        <w:rPr>
          <w:rFonts w:ascii="Garamond" w:hAnsi="Garamond"/>
          <w:sz w:val="28"/>
        </w:rPr>
        <w:t>off</w:t>
      </w:r>
      <w:r w:rsidR="00347ED0">
        <w:rPr>
          <w:rFonts w:ascii="Garamond" w:hAnsi="Garamond"/>
          <w:sz w:val="28"/>
        </w:rPr>
        <w:t>,</w:t>
      </w:r>
      <w:r>
        <w:rPr>
          <w:rFonts w:ascii="Garamond" w:hAnsi="Garamond"/>
          <w:sz w:val="28"/>
        </w:rPr>
        <w:t xml:space="preserve"> as we all know refers to the flow away of water on the top-soil, to the drainage, which means that the aquifers (both above ground and underground) are not getting replenished. To model run-off, the technique used is called Curve Number Technique, or more specifically: </w:t>
      </w:r>
      <w:r w:rsidRPr="007E2C98">
        <w:rPr>
          <w:rFonts w:ascii="Garamond" w:hAnsi="Garamond"/>
          <w:b/>
          <w:sz w:val="28"/>
        </w:rPr>
        <w:t>Soil Conservation Service (SCS) Curve Number Technique</w:t>
      </w:r>
      <w:r w:rsidR="001F4030" w:rsidRPr="007E2C98">
        <w:rPr>
          <w:rFonts w:ascii="Garamond" w:hAnsi="Garamond"/>
          <w:b/>
          <w:sz w:val="28"/>
        </w:rPr>
        <w:t xml:space="preserve">. </w:t>
      </w:r>
      <w:r w:rsidR="001F4030">
        <w:rPr>
          <w:rFonts w:ascii="Garamond" w:hAnsi="Garamond"/>
          <w:sz w:val="28"/>
        </w:rPr>
        <w:t xml:space="preserve">The curve number </w:t>
      </w:r>
      <w:r w:rsidR="001F4030" w:rsidRPr="007E2C98">
        <w:rPr>
          <w:rFonts w:ascii="Garamond" w:hAnsi="Garamond"/>
          <w:b/>
          <w:sz w:val="28"/>
        </w:rPr>
        <w:t>technique relates runoff to soil type, land use and management practices.</w:t>
      </w:r>
      <w:r w:rsidR="009421F8">
        <w:rPr>
          <w:rFonts w:ascii="Garamond" w:hAnsi="Garamond"/>
          <w:b/>
          <w:sz w:val="28"/>
        </w:rPr>
        <w:t xml:space="preserve"> </w:t>
      </w:r>
      <w:r w:rsidR="009421F8">
        <w:rPr>
          <w:rFonts w:ascii="Garamond" w:hAnsi="Garamond"/>
          <w:sz w:val="28"/>
        </w:rPr>
        <w:t>It is also reliable and computationally efficient.</w:t>
      </w:r>
    </w:p>
    <w:bookmarkEnd w:id="1"/>
    <w:p w14:paraId="7E37E538" w14:textId="0FEF177F" w:rsidR="00F610FF" w:rsidRDefault="00B20996" w:rsidP="007A35C0">
      <w:pPr>
        <w:jc w:val="both"/>
        <w:rPr>
          <w:rFonts w:ascii="Garamond" w:hAnsi="Garamond"/>
          <w:sz w:val="28"/>
        </w:rPr>
      </w:pPr>
      <w:r w:rsidRPr="007A35C0">
        <w:rPr>
          <w:rFonts w:ascii="Garamond" w:hAnsi="Garamond"/>
          <w:sz w:val="28"/>
        </w:rPr>
        <w:t>Available daily rainfall is an important parameter in CN technique</w:t>
      </w:r>
      <w:r w:rsidR="00B21A51">
        <w:rPr>
          <w:rFonts w:ascii="Garamond" w:hAnsi="Garamond"/>
          <w:sz w:val="28"/>
        </w:rPr>
        <w:t xml:space="preserve">. </w:t>
      </w:r>
      <w:r w:rsidR="00135F16" w:rsidRPr="007A35C0">
        <w:rPr>
          <w:rFonts w:ascii="Garamond" w:hAnsi="Garamond"/>
          <w:sz w:val="28"/>
        </w:rPr>
        <w:t>Antecedent Rainfall index: We use the already available rainfall index</w:t>
      </w:r>
      <w:r w:rsidR="009461AC" w:rsidRPr="007A35C0">
        <w:rPr>
          <w:rFonts w:ascii="Garamond" w:hAnsi="Garamond"/>
          <w:sz w:val="28"/>
        </w:rPr>
        <w:t xml:space="preserve"> (per day rainfall)</w:t>
      </w:r>
      <w:r w:rsidR="00135F16" w:rsidRPr="007A35C0">
        <w:rPr>
          <w:rFonts w:ascii="Garamond" w:hAnsi="Garamond"/>
          <w:sz w:val="28"/>
        </w:rPr>
        <w:t xml:space="preserve"> (antecedent rainfall index)</w:t>
      </w:r>
      <w:r w:rsidR="009461AC" w:rsidRPr="007A35C0">
        <w:rPr>
          <w:rFonts w:ascii="Garamond" w:hAnsi="Garamond"/>
          <w:sz w:val="28"/>
        </w:rPr>
        <w:t>, to estimate the soil moisture conditions</w:t>
      </w:r>
      <w:r w:rsidR="007A35C0">
        <w:rPr>
          <w:rFonts w:ascii="Garamond" w:hAnsi="Garamond"/>
          <w:sz w:val="28"/>
        </w:rPr>
        <w:t xml:space="preserve">. </w:t>
      </w:r>
    </w:p>
    <w:p w14:paraId="25AE1CED" w14:textId="6B059B5C" w:rsidR="00085E0F" w:rsidRDefault="00085E0F" w:rsidP="00374B38">
      <w:pPr>
        <w:spacing w:line="276" w:lineRule="auto"/>
        <w:jc w:val="both"/>
        <w:rPr>
          <w:rFonts w:ascii="Garamond" w:hAnsi="Garamond" w:cs="Arial"/>
          <w:sz w:val="28"/>
          <w:szCs w:val="28"/>
          <w:shd w:val="clear" w:color="auto" w:fill="FFFFFF"/>
        </w:rPr>
      </w:pPr>
      <w:r w:rsidRPr="00374B38">
        <w:rPr>
          <w:rFonts w:ascii="Garamond" w:hAnsi="Garamond"/>
          <w:b/>
          <w:sz w:val="28"/>
          <w:szCs w:val="28"/>
        </w:rPr>
        <w:t>Antecedent soil water con</w:t>
      </w:r>
      <w:r w:rsidR="00374B38" w:rsidRPr="00374B38">
        <w:rPr>
          <w:rFonts w:ascii="Garamond" w:hAnsi="Garamond"/>
          <w:b/>
          <w:sz w:val="28"/>
          <w:szCs w:val="28"/>
        </w:rPr>
        <w:t>tent definition:</w:t>
      </w:r>
      <w:r w:rsidR="00374B38" w:rsidRPr="00374B38">
        <w:rPr>
          <w:rFonts w:ascii="Garamond" w:hAnsi="Garamond"/>
          <w:sz w:val="28"/>
          <w:szCs w:val="28"/>
        </w:rPr>
        <w:t xml:space="preserve"> </w:t>
      </w:r>
      <w:r w:rsidR="00374B38" w:rsidRPr="00374B38">
        <w:rPr>
          <w:rFonts w:ascii="Garamond" w:hAnsi="Garamond" w:cs="Arial"/>
          <w:sz w:val="28"/>
          <w:szCs w:val="28"/>
          <w:shd w:val="clear" w:color="auto" w:fill="FFFFFF"/>
        </w:rPr>
        <w:t>The degree of wetness of the </w:t>
      </w:r>
      <w:r w:rsidR="00374B38" w:rsidRPr="00374B38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soil</w:t>
      </w:r>
      <w:r w:rsidR="00374B38" w:rsidRPr="00374B38">
        <w:rPr>
          <w:rFonts w:ascii="Garamond" w:hAnsi="Garamond" w:cs="Arial"/>
          <w:sz w:val="28"/>
          <w:szCs w:val="28"/>
          <w:shd w:val="clear" w:color="auto" w:fill="FFFFFF"/>
        </w:rPr>
        <w:t> at the beginning of a period of runoff, usually expressed as the total inch</w:t>
      </w:r>
      <w:r w:rsidR="00374B38" w:rsidRPr="00374B38">
        <w:rPr>
          <w:rFonts w:ascii="Times New Roman" w:hAnsi="Times New Roman" w:cs="Times New Roman"/>
          <w:sz w:val="28"/>
          <w:szCs w:val="28"/>
          <w:shd w:val="clear" w:color="auto" w:fill="FFFFFF"/>
        </w:rPr>
        <w:t>‐</w:t>
      </w:r>
      <w:r w:rsidR="00374B38" w:rsidRPr="00374B38">
        <w:rPr>
          <w:rFonts w:ascii="Garamond" w:hAnsi="Garamond" w:cs="Arial"/>
          <w:sz w:val="28"/>
          <w:szCs w:val="28"/>
          <w:shd w:val="clear" w:color="auto" w:fill="FFFFFF"/>
        </w:rPr>
        <w:t>depth</w:t>
      </w:r>
      <w:r w:rsidR="00374B38" w:rsidRPr="00374B38">
        <w:rPr>
          <w:rFonts w:ascii="Times New Roman" w:hAnsi="Times New Roman" w:cs="Times New Roman"/>
          <w:sz w:val="28"/>
          <w:szCs w:val="28"/>
          <w:shd w:val="clear" w:color="auto" w:fill="FFFFFF"/>
        </w:rPr>
        <w:t>‐</w:t>
      </w:r>
      <w:r w:rsidR="00374B38" w:rsidRPr="00374B38">
        <w:rPr>
          <w:rFonts w:ascii="Garamond" w:hAnsi="Garamond" w:cs="Arial"/>
          <w:sz w:val="28"/>
          <w:szCs w:val="28"/>
          <w:shd w:val="clear" w:color="auto" w:fill="FFFFFF"/>
        </w:rPr>
        <w:t>equivalent of </w:t>
      </w:r>
      <w:r w:rsidR="00374B38" w:rsidRPr="00374B38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water</w:t>
      </w:r>
      <w:r w:rsidR="00374B38" w:rsidRPr="00374B38">
        <w:rPr>
          <w:rFonts w:ascii="Garamond" w:hAnsi="Garamond" w:cs="Arial"/>
          <w:sz w:val="28"/>
          <w:szCs w:val="28"/>
          <w:shd w:val="clear" w:color="auto" w:fill="FFFFFF"/>
        </w:rPr>
        <w:t> stored in the</w:t>
      </w:r>
      <w:r w:rsidR="00374B38">
        <w:rPr>
          <w:rFonts w:ascii="Garamond" w:hAnsi="Garamond" w:cs="Arial"/>
          <w:sz w:val="28"/>
          <w:szCs w:val="28"/>
          <w:shd w:val="clear" w:color="auto" w:fill="FFFFFF"/>
        </w:rPr>
        <w:t xml:space="preserve"> </w:t>
      </w:r>
      <w:r w:rsidR="00374B38" w:rsidRPr="00374B38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soil</w:t>
      </w:r>
      <w:r w:rsidR="00374B38" w:rsidRPr="00374B38">
        <w:rPr>
          <w:rFonts w:ascii="Garamond" w:hAnsi="Garamond" w:cs="Arial"/>
          <w:sz w:val="28"/>
          <w:szCs w:val="28"/>
          <w:shd w:val="clear" w:color="auto" w:fill="FFFFFF"/>
        </w:rPr>
        <w:t>. Also known as </w:t>
      </w:r>
      <w:r w:rsidR="00374B38" w:rsidRPr="00374B38">
        <w:rPr>
          <w:rFonts w:ascii="Garamond" w:hAnsi="Garamond" w:cs="Arial"/>
          <w:bCs/>
          <w:sz w:val="28"/>
          <w:szCs w:val="28"/>
          <w:shd w:val="clear" w:color="auto" w:fill="FFFFFF"/>
        </w:rPr>
        <w:t>antecedent soil water</w:t>
      </w:r>
      <w:r w:rsidR="00374B38" w:rsidRPr="00374B38">
        <w:rPr>
          <w:rFonts w:ascii="Garamond" w:hAnsi="Garamond" w:cs="Arial"/>
          <w:sz w:val="28"/>
          <w:szCs w:val="28"/>
          <w:shd w:val="clear" w:color="auto" w:fill="FFFFFF"/>
        </w:rPr>
        <w:t>.</w:t>
      </w:r>
    </w:p>
    <w:p w14:paraId="39C72268" w14:textId="77777777" w:rsidR="008051A8" w:rsidRDefault="008051A8" w:rsidP="00374B38">
      <w:pPr>
        <w:spacing w:line="276" w:lineRule="auto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 runoff curve number is based on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</w:p>
    <w:p w14:paraId="293AE419" w14:textId="77777777" w:rsidR="008051A8" w:rsidRPr="008051A8" w:rsidRDefault="008051A8" w:rsidP="008051A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aramond" w:hAnsi="Garamond"/>
          <w:sz w:val="28"/>
          <w:szCs w:val="28"/>
        </w:rPr>
      </w:pPr>
      <w:r w:rsidRPr="008051A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the area's hydrologic soil group</w:t>
      </w:r>
    </w:p>
    <w:p w14:paraId="69B2864D" w14:textId="77777777" w:rsidR="008051A8" w:rsidRPr="008051A8" w:rsidRDefault="008051A8" w:rsidP="008051A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aramond" w:hAnsi="Garamond"/>
          <w:sz w:val="28"/>
          <w:szCs w:val="28"/>
        </w:rPr>
      </w:pPr>
      <w:r w:rsidRPr="008051A8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6" w:tooltip="Land use" w:history="1">
        <w:r w:rsidRPr="008051A8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land use</w:t>
        </w:r>
      </w:hyperlink>
      <w:r w:rsidRPr="008051A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treatment </w:t>
      </w:r>
    </w:p>
    <w:p w14:paraId="56C49F5F" w14:textId="77777777" w:rsidR="008051A8" w:rsidRPr="008051A8" w:rsidRDefault="008051A8" w:rsidP="008051A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aramond" w:hAnsi="Garamond"/>
          <w:sz w:val="28"/>
          <w:szCs w:val="28"/>
        </w:rPr>
      </w:pPr>
      <w:r w:rsidRPr="008051A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hydrologic condition. </w:t>
      </w:r>
    </w:p>
    <w:p w14:paraId="512612C7" w14:textId="7E97FEE2" w:rsidR="00CA6FD1" w:rsidRDefault="008051A8" w:rsidP="008051A8">
      <w:pPr>
        <w:spacing w:line="276" w:lineRule="auto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8051A8">
        <w:rPr>
          <w:rFonts w:ascii="Arial" w:hAnsi="Arial" w:cs="Arial"/>
          <w:color w:val="222222"/>
          <w:sz w:val="21"/>
          <w:szCs w:val="21"/>
          <w:shd w:val="clear" w:color="auto" w:fill="FFFFFF"/>
        </w:rPr>
        <w:t>References, such as from USDA</w:t>
      </w:r>
      <w:hyperlink r:id="rId7" w:anchor="cite_note-usda86-1" w:history="1">
        <w:r w:rsidRPr="008051A8"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[1]</w:t>
        </w:r>
      </w:hyperlink>
      <w:r w:rsidRPr="008051A8">
        <w:rPr>
          <w:rFonts w:ascii="Arial" w:hAnsi="Arial" w:cs="Arial"/>
          <w:color w:val="222222"/>
          <w:sz w:val="21"/>
          <w:szCs w:val="21"/>
          <w:shd w:val="clear" w:color="auto" w:fill="FFFFFF"/>
        </w:rPr>
        <w:t> indicate th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at</w:t>
      </w:r>
      <w:r w:rsidR="00512619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for characteristic land cover descriptions</w:t>
      </w:r>
      <w:r w:rsidR="00335F3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and a known hydrologic soil group</w:t>
      </w:r>
      <w:r w:rsidR="0051261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the region</w:t>
      </w:r>
      <w:r w:rsidR="00335F30">
        <w:rPr>
          <w:rFonts w:ascii="Arial" w:hAnsi="Arial" w:cs="Arial"/>
          <w:color w:val="222222"/>
          <w:sz w:val="21"/>
          <w:szCs w:val="21"/>
          <w:shd w:val="clear" w:color="auto" w:fill="FFFFFF"/>
        </w:rPr>
        <w:t>, the</w:t>
      </w:r>
      <w:r w:rsidRPr="008051A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runoff curve numbers </w:t>
      </w:r>
      <w:r w:rsidR="00335F30">
        <w:rPr>
          <w:rFonts w:ascii="Arial" w:hAnsi="Arial" w:cs="Arial"/>
          <w:color w:val="222222"/>
          <w:sz w:val="21"/>
          <w:szCs w:val="21"/>
          <w:shd w:val="clear" w:color="auto" w:fill="FFFFFF"/>
        </w:rPr>
        <w:t>are kind of fixed and can be predetermined.</w:t>
      </w:r>
    </w:p>
    <w:p w14:paraId="281A219C" w14:textId="48E6AE14" w:rsidR="00105DA6" w:rsidRPr="00B32178" w:rsidRDefault="00234C89" w:rsidP="008051A8">
      <w:pPr>
        <w:spacing w:line="276" w:lineRule="auto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Curve number, taking into account the </w:t>
      </w:r>
      <w:r w:rsidR="00B32178">
        <w:rPr>
          <w:rFonts w:ascii="Garamond" w:hAnsi="Garamond"/>
          <w:sz w:val="28"/>
          <w:szCs w:val="28"/>
        </w:rPr>
        <w:t>Antecedent Soil Moisture condition (AMC), is called AMC II or simply CN</w:t>
      </w:r>
      <w:r w:rsidR="00B32178">
        <w:rPr>
          <w:rFonts w:ascii="Garamond" w:hAnsi="Garamond"/>
          <w:sz w:val="28"/>
          <w:szCs w:val="28"/>
          <w:vertAlign w:val="subscript"/>
        </w:rPr>
        <w:t>2</w:t>
      </w:r>
      <w:r w:rsidR="00BE770A">
        <w:rPr>
          <w:rFonts w:ascii="Garamond" w:hAnsi="Garamond"/>
          <w:sz w:val="28"/>
          <w:szCs w:val="28"/>
        </w:rPr>
        <w:t xml:space="preserve"> for Average moisture conditions, similarly we have I for dry and III for wet.</w:t>
      </w:r>
      <w:bookmarkStart w:id="2" w:name="_GoBack"/>
      <w:bookmarkEnd w:id="2"/>
    </w:p>
    <w:sectPr w:rsidR="00105DA6" w:rsidRPr="00B32178" w:rsidSect="000E6698">
      <w:pgSz w:w="11906" w:h="16838"/>
      <w:pgMar w:top="1440" w:right="1080" w:bottom="1440" w:left="1080" w:header="708" w:footer="708" w:gutter="0"/>
      <w:pgBorders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A636B"/>
    <w:multiLevelType w:val="hybridMultilevel"/>
    <w:tmpl w:val="50C29D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9378C"/>
    <w:multiLevelType w:val="hybridMultilevel"/>
    <w:tmpl w:val="97CC1C70"/>
    <w:lvl w:ilvl="0" w:tplc="4F68A73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2222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9494A"/>
    <w:multiLevelType w:val="hybridMultilevel"/>
    <w:tmpl w:val="DD3CC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698"/>
    <w:rsid w:val="000147AE"/>
    <w:rsid w:val="00085E0F"/>
    <w:rsid w:val="000E6698"/>
    <w:rsid w:val="00105DA6"/>
    <w:rsid w:val="00135F16"/>
    <w:rsid w:val="001D460C"/>
    <w:rsid w:val="001F4030"/>
    <w:rsid w:val="00234C89"/>
    <w:rsid w:val="00246F03"/>
    <w:rsid w:val="002712FE"/>
    <w:rsid w:val="00335F30"/>
    <w:rsid w:val="00347ED0"/>
    <w:rsid w:val="00364007"/>
    <w:rsid w:val="00374B38"/>
    <w:rsid w:val="00385953"/>
    <w:rsid w:val="00512619"/>
    <w:rsid w:val="007A35C0"/>
    <w:rsid w:val="007A39C8"/>
    <w:rsid w:val="007D4C90"/>
    <w:rsid w:val="007E2C98"/>
    <w:rsid w:val="008051A8"/>
    <w:rsid w:val="009421F8"/>
    <w:rsid w:val="009461AC"/>
    <w:rsid w:val="00A55AB8"/>
    <w:rsid w:val="00B20996"/>
    <w:rsid w:val="00B21A51"/>
    <w:rsid w:val="00B32178"/>
    <w:rsid w:val="00B623CB"/>
    <w:rsid w:val="00BE770A"/>
    <w:rsid w:val="00CA6FD1"/>
    <w:rsid w:val="00CF33C1"/>
    <w:rsid w:val="00CF396E"/>
    <w:rsid w:val="00D50F6D"/>
    <w:rsid w:val="00DE2884"/>
    <w:rsid w:val="00E11656"/>
    <w:rsid w:val="00F164BE"/>
    <w:rsid w:val="00F610FF"/>
    <w:rsid w:val="00F8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3D62C"/>
  <w15:chartTrackingRefBased/>
  <w15:docId w15:val="{9305BCB1-ADE2-45CA-B41E-35E77FF7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3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64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4B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A6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we-math-mathml-inline">
    <w:name w:val="mwe-math-mathml-inline"/>
    <w:basedOn w:val="DefaultParagraphFont"/>
    <w:rsid w:val="00CA6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8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unoff_curve_numb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and_use" TargetMode="External"/><Relationship Id="rId5" Type="http://schemas.openxmlformats.org/officeDocument/2006/relationships/hyperlink" Target="https://en.wikipedia.org/wiki/Runoff_curve_numb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Swarnaditya Maitra</dc:creator>
  <cp:keywords/>
  <dc:description/>
  <cp:lastModifiedBy>Swarnaditya Maitra</cp:lastModifiedBy>
  <cp:revision>27</cp:revision>
  <dcterms:created xsi:type="dcterms:W3CDTF">2019-03-18T07:15:00Z</dcterms:created>
  <dcterms:modified xsi:type="dcterms:W3CDTF">2019-03-19T08:15:00Z</dcterms:modified>
</cp:coreProperties>
</file>