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464C6" w14:textId="59719F6E" w:rsidR="00D259AA" w:rsidRPr="00245A5B" w:rsidRDefault="00D259AA" w:rsidP="00D259AA">
      <w:pPr>
        <w:jc w:val="center"/>
        <w:rPr>
          <w:b/>
          <w:bCs/>
          <w:color w:val="A20000"/>
          <w:sz w:val="36"/>
          <w:szCs w:val="36"/>
        </w:rPr>
      </w:pPr>
      <w:r w:rsidRPr="00245A5B">
        <w:rPr>
          <w:b/>
          <w:bCs/>
          <w:color w:val="A20000"/>
          <w:sz w:val="36"/>
          <w:szCs w:val="36"/>
        </w:rPr>
        <w:t>PERCENTILE</w:t>
      </w:r>
    </w:p>
    <w:p w14:paraId="0DA85B09" w14:textId="64329BDF" w:rsidR="00D259AA" w:rsidRPr="00245A5B" w:rsidRDefault="00D259AA" w:rsidP="00D259AA">
      <w:pPr>
        <w:rPr>
          <w:b/>
          <w:bCs/>
          <w:color w:val="A20000"/>
        </w:rPr>
      </w:pPr>
      <w:r w:rsidRPr="00245A5B">
        <w:rPr>
          <w:b/>
          <w:bCs/>
          <w:color w:val="A20000"/>
        </w:rPr>
        <w:t>Overall report analysis:</w:t>
      </w:r>
    </w:p>
    <w:p w14:paraId="0B972650" w14:textId="0540A6AD" w:rsidR="00D259AA" w:rsidRDefault="00D259AA" w:rsidP="00D259AA">
      <w:pPr>
        <w:rPr>
          <w:b/>
          <w:bCs/>
        </w:rPr>
      </w:pPr>
      <w:r w:rsidRPr="00D259AA">
        <w:rPr>
          <w:b/>
          <w:bCs/>
        </w:rPr>
        <w:drawing>
          <wp:inline distT="0" distB="0" distL="0" distR="0" wp14:anchorId="1C46E33D" wp14:editId="09AADADD">
            <wp:extent cx="5781675" cy="1854835"/>
            <wp:effectExtent l="0" t="0" r="9525" b="0"/>
            <wp:docPr id="831248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2482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3794" cy="185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0D881" w14:textId="502883C8" w:rsidR="00D259AA" w:rsidRPr="00D259AA" w:rsidRDefault="00D259AA" w:rsidP="00D259AA">
      <w:pPr>
        <w:rPr>
          <w:b/>
          <w:bCs/>
          <w:color w:val="A20000"/>
        </w:rPr>
      </w:pPr>
      <w:r w:rsidRPr="00D259AA">
        <w:rPr>
          <w:b/>
          <w:bCs/>
          <w:color w:val="A20000"/>
        </w:rPr>
        <w:t>Interpretation and Insights:</w:t>
      </w:r>
    </w:p>
    <w:p w14:paraId="7BEEA26E" w14:textId="77777777" w:rsidR="00D259AA" w:rsidRPr="00D259AA" w:rsidRDefault="00D259AA" w:rsidP="00D259AA">
      <w:pPr>
        <w:numPr>
          <w:ilvl w:val="0"/>
          <w:numId w:val="1"/>
        </w:numPr>
      </w:pPr>
      <w:r w:rsidRPr="00D259AA">
        <w:rPr>
          <w:b/>
          <w:bCs/>
        </w:rPr>
        <w:t>Academic Performance Insights:</w:t>
      </w:r>
    </w:p>
    <w:p w14:paraId="0CDA4070" w14:textId="77777777" w:rsidR="00D259AA" w:rsidRPr="00D259AA" w:rsidRDefault="00D259AA" w:rsidP="00D259AA">
      <w:pPr>
        <w:numPr>
          <w:ilvl w:val="1"/>
          <w:numId w:val="1"/>
        </w:numPr>
      </w:pPr>
      <w:r w:rsidRPr="00D259AA">
        <w:rPr>
          <w:b/>
          <w:bCs/>
        </w:rPr>
        <w:t>SSC and HSC Percentiles:</w:t>
      </w:r>
      <w:r w:rsidRPr="00D259AA">
        <w:br/>
        <w:t>The academic scores, especially for SSC and HSC, show a good spread, with the majority of individuals falling between 60% and 75% in HSC, and a slightly lower spread in SSC. However, there are some anomalies in the dataset where values exceed 100%, particularly for SSC, which suggests data quality issues.</w:t>
      </w:r>
    </w:p>
    <w:p w14:paraId="2BE6C083" w14:textId="77777777" w:rsidR="00D259AA" w:rsidRPr="00D259AA" w:rsidRDefault="00D259AA" w:rsidP="00D259AA">
      <w:pPr>
        <w:numPr>
          <w:ilvl w:val="1"/>
          <w:numId w:val="1"/>
        </w:numPr>
      </w:pPr>
      <w:r w:rsidRPr="00D259AA">
        <w:rPr>
          <w:b/>
          <w:bCs/>
        </w:rPr>
        <w:t>Degree Percentiles:</w:t>
      </w:r>
      <w:r w:rsidRPr="00D259AA">
        <w:br/>
        <w:t>Degree scores generally increase as we move up the percentiles, with most individuals scoring between 60% and 73%. The top 25% achieved above 73%, with a few outliers reaching up to 97.7%.</w:t>
      </w:r>
    </w:p>
    <w:p w14:paraId="4E74216E" w14:textId="77777777" w:rsidR="00D259AA" w:rsidRPr="00D259AA" w:rsidRDefault="00D259AA" w:rsidP="00D259AA">
      <w:pPr>
        <w:numPr>
          <w:ilvl w:val="1"/>
          <w:numId w:val="1"/>
        </w:numPr>
      </w:pPr>
      <w:r w:rsidRPr="00D259AA">
        <w:rPr>
          <w:b/>
          <w:bCs/>
        </w:rPr>
        <w:t>E-test Percentiles:</w:t>
      </w:r>
      <w:r w:rsidRPr="00D259AA">
        <w:br/>
        <w:t>E-test scores show a clearer pattern with the top 25% scoring above 72%, and the highest achieving individuals scoring around 91%.</w:t>
      </w:r>
    </w:p>
    <w:p w14:paraId="58334982" w14:textId="77777777" w:rsidR="00D259AA" w:rsidRPr="00D259AA" w:rsidRDefault="00D259AA" w:rsidP="00D259AA">
      <w:pPr>
        <w:numPr>
          <w:ilvl w:val="1"/>
          <w:numId w:val="1"/>
        </w:numPr>
      </w:pPr>
      <w:r w:rsidRPr="00D259AA">
        <w:rPr>
          <w:b/>
          <w:bCs/>
        </w:rPr>
        <w:t>MBA Percentiles:</w:t>
      </w:r>
      <w:r w:rsidRPr="00D259AA">
        <w:br/>
        <w:t>The MBA scores show a more significant range, with 75% of individuals scoring below 83.5%, and the top achievers scoring close to 98%.</w:t>
      </w:r>
    </w:p>
    <w:p w14:paraId="4297E42E" w14:textId="35DEBF66" w:rsidR="00D259AA" w:rsidRPr="00D259AA" w:rsidRDefault="00D259AA" w:rsidP="00D259AA">
      <w:pPr>
        <w:numPr>
          <w:ilvl w:val="0"/>
          <w:numId w:val="1"/>
        </w:numPr>
      </w:pPr>
      <w:r w:rsidRPr="00D259AA">
        <w:rPr>
          <w:b/>
          <w:bCs/>
        </w:rPr>
        <w:t xml:space="preserve">Salary </w:t>
      </w:r>
      <w:r>
        <w:rPr>
          <w:b/>
          <w:bCs/>
        </w:rPr>
        <w:t>Distribution:</w:t>
      </w:r>
    </w:p>
    <w:p w14:paraId="69DE2875" w14:textId="77777777" w:rsidR="00D259AA" w:rsidRPr="00D259AA" w:rsidRDefault="00D259AA" w:rsidP="00D259AA">
      <w:pPr>
        <w:numPr>
          <w:ilvl w:val="2"/>
          <w:numId w:val="1"/>
        </w:numPr>
      </w:pPr>
      <w:r w:rsidRPr="00D259AA">
        <w:t xml:space="preserve">The </w:t>
      </w:r>
      <w:r w:rsidRPr="00D259AA">
        <w:rPr>
          <w:b/>
          <w:bCs/>
        </w:rPr>
        <w:t>25th percentile</w:t>
      </w:r>
      <w:r w:rsidRPr="00D259AA">
        <w:t xml:space="preserve"> shows a salary of 240,000, indicating that 25% of individuals earn less than this amount.</w:t>
      </w:r>
    </w:p>
    <w:p w14:paraId="0AC3114F" w14:textId="77777777" w:rsidR="00D259AA" w:rsidRPr="00D259AA" w:rsidRDefault="00D259AA" w:rsidP="00D259AA">
      <w:pPr>
        <w:numPr>
          <w:ilvl w:val="2"/>
          <w:numId w:val="1"/>
        </w:numPr>
      </w:pPr>
      <w:r w:rsidRPr="00D259AA">
        <w:t xml:space="preserve">The </w:t>
      </w:r>
      <w:r w:rsidRPr="00D259AA">
        <w:rPr>
          <w:b/>
          <w:bCs/>
        </w:rPr>
        <w:t>50th percentile (Median)</w:t>
      </w:r>
      <w:r w:rsidRPr="00D259AA">
        <w:t xml:space="preserve"> salary is 265,000, implying that half the dataset earns less than this figure.</w:t>
      </w:r>
    </w:p>
    <w:p w14:paraId="787BC063" w14:textId="77777777" w:rsidR="00D259AA" w:rsidRPr="00D259AA" w:rsidRDefault="00D259AA" w:rsidP="00D259AA">
      <w:pPr>
        <w:numPr>
          <w:ilvl w:val="2"/>
          <w:numId w:val="1"/>
        </w:numPr>
      </w:pPr>
      <w:r w:rsidRPr="00D259AA">
        <w:t xml:space="preserve">The </w:t>
      </w:r>
      <w:r w:rsidRPr="00D259AA">
        <w:rPr>
          <w:b/>
          <w:bCs/>
        </w:rPr>
        <w:t>75th percentile</w:t>
      </w:r>
      <w:r w:rsidRPr="00D259AA">
        <w:t xml:space="preserve"> salary is 300,000, meaning 75% of individuals earn less than 300,000.</w:t>
      </w:r>
    </w:p>
    <w:p w14:paraId="3E909B1D" w14:textId="77777777" w:rsidR="00D259AA" w:rsidRPr="00D259AA" w:rsidRDefault="00D259AA" w:rsidP="00D259AA">
      <w:pPr>
        <w:numPr>
          <w:ilvl w:val="2"/>
          <w:numId w:val="1"/>
        </w:numPr>
      </w:pPr>
      <w:r w:rsidRPr="00D259AA">
        <w:t xml:space="preserve">A </w:t>
      </w:r>
      <w:r w:rsidRPr="00D259AA">
        <w:rPr>
          <w:b/>
          <w:bCs/>
        </w:rPr>
        <w:t>significant jump</w:t>
      </w:r>
      <w:r w:rsidRPr="00D259AA">
        <w:t xml:space="preserve"> is observed at the 100th percentile, where the highest salary recorded is 940,000. This suggests that there may be high-paying outliers or top earners in this dataset.</w:t>
      </w:r>
    </w:p>
    <w:p w14:paraId="48B36AF8" w14:textId="77777777" w:rsidR="00C523D9" w:rsidRDefault="00C523D9"/>
    <w:sectPr w:rsidR="00C523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2238C5"/>
    <w:multiLevelType w:val="multilevel"/>
    <w:tmpl w:val="1FEC1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9955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9AA"/>
    <w:rsid w:val="00245A5B"/>
    <w:rsid w:val="00A60699"/>
    <w:rsid w:val="00C523D9"/>
    <w:rsid w:val="00D259AA"/>
    <w:rsid w:val="00E1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EC226"/>
  <w15:chartTrackingRefBased/>
  <w15:docId w15:val="{A7D8E3DC-7190-4002-94F3-7406FE5E2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1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Malya J</dc:creator>
  <cp:keywords/>
  <dc:description/>
  <cp:lastModifiedBy>Malya J</cp:lastModifiedBy>
  <cp:revision>1</cp:revision>
  <dcterms:created xsi:type="dcterms:W3CDTF">2024-11-11T17:26:00Z</dcterms:created>
  <dcterms:modified xsi:type="dcterms:W3CDTF">2024-11-11T17:39:00Z</dcterms:modified>
</cp:coreProperties>
</file>