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4D2B"/>
          <w:sz w:val="40"/>
        </w:rPr>
        <w:t>6-MEMBER LIVE DEMO SCRIPT &amp; ROLE DISTRIBUTION</w:t>
      </w:r>
    </w:p>
    <w:p>
      <w:pPr>
        <w:jc w:val="center"/>
      </w:pPr>
      <w:r>
        <w:rPr>
          <w:rFonts w:ascii="Calibri" w:hAnsi="Calibri"/>
          <w:i/>
          <w:color w:val="D66E1F"/>
          <w:sz w:val="22"/>
        </w:rPr>
        <w:t>Project GeoGovGadget — Smart India Hackathon 2026</w:t>
        <w:br/>
        <w:t>Team: INFERICS | Target Duration: ~3 Minutes (~30 Seconds per Member)</w:t>
      </w:r>
    </w:p>
    <w:p/>
    <w:p>
      <w:r>
        <w:rPr>
          <w:rFonts w:ascii="Calibri" w:hAnsi="Calibri"/>
          <w:b/>
          <w:color w:val="1E4D2B"/>
          <w:sz w:val="25"/>
        </w:rPr>
        <w:t>Speaker 1: Team Leader / Intro &amp; Problem Pitch (0:00 - 0:30)</w:t>
      </w:r>
    </w:p>
    <w:p>
      <w:r>
        <w:rPr>
          <w:rFonts w:ascii="Calibri" w:hAnsi="Calibri"/>
          <w:i/>
          <w:color w:val="D66E1F"/>
          <w:sz w:val="20"/>
        </w:rPr>
        <w:t>Slide Alignment &amp; Tone: Slide 1 | Energetic, confident start.</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Respected judges, we are Team INFERICS presenting GeoGovGadget for Problem Statement 26012. Traditional cadastral land mapping is slow, manual, and heavily prone to legal boundary disputes. GeoGovGadget accelerates property mapping by automating boundary extraction from drone and satellite imagery using AI—helping local bodies update land records in weeks instead of months.</w:t>
            </w:r>
          </w:p>
        </w:tc>
      </w:tr>
    </w:tbl>
    <w:p/>
    <w:p>
      <w:r>
        <w:rPr>
          <w:rFonts w:ascii="Calibri" w:hAnsi="Calibri"/>
          <w:b/>
          <w:color w:val="1E4D2B"/>
          <w:sz w:val="25"/>
        </w:rPr>
        <w:t>Speaker 2: AI &amp; Computer Vision Lead (0:30 - 1:00)</w:t>
      </w:r>
    </w:p>
    <w:p>
      <w:r>
        <w:rPr>
          <w:rFonts w:ascii="Calibri" w:hAnsi="Calibri"/>
          <w:i/>
          <w:color w:val="D66E1F"/>
          <w:sz w:val="20"/>
        </w:rPr>
        <w:t>Slide Alignment &amp; Tone: Slide 2 (Part 1) | Clear, technical pacing.</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Our core machine learning pipeline ingests high-resolution drone photos, elevation models, and legacy GIS data. We pass this spatial data through fine-tuned U-Net and Mask R-CNN segmentation architectures combined with OpenCV processing. This automatically extracts building footprints, parcel boundaries, and land-use classes.</w:t>
            </w:r>
          </w:p>
        </w:tc>
      </w:tr>
    </w:tbl>
    <w:p/>
    <w:p>
      <w:r>
        <w:rPr>
          <w:rFonts w:ascii="Calibri" w:hAnsi="Calibri"/>
          <w:b/>
          <w:color w:val="1E4D2B"/>
          <w:sz w:val="25"/>
        </w:rPr>
        <w:t>Speaker 3: GIS Vector &amp; Backend Engineer (1:00 - 1:30)</w:t>
      </w:r>
    </w:p>
    <w:p>
      <w:r>
        <w:rPr>
          <w:rFonts w:ascii="Calibri" w:hAnsi="Calibri"/>
          <w:i/>
          <w:color w:val="D66E1F"/>
          <w:sz w:val="20"/>
        </w:rPr>
        <w:t>Slide Alignment &amp; Tone: Slide 2 (Part 2) &amp; Slide 3 | Precise and authoritative.</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Raw image segmentations are post-processed into topologically valid Shapefiles and GeoJSON vectors with automated overlap checks. Our GIS backend relies on PostGIS integrated with an interactive Web Dashboard built on React, Node, and Mapbox—allowing real-time spatial query processing.</w:t>
            </w:r>
          </w:p>
        </w:tc>
      </w:tr>
    </w:tbl>
    <w:p/>
    <w:p>
      <w:r>
        <w:rPr>
          <w:rFonts w:ascii="Calibri" w:hAnsi="Calibri"/>
          <w:b/>
          <w:color w:val="1E4D2B"/>
          <w:sz w:val="25"/>
        </w:rPr>
        <w:t>Speaker 4: Edge Hardware Specialist (1:30 - 2:00)</w:t>
      </w:r>
    </w:p>
    <w:p>
      <w:r>
        <w:rPr>
          <w:rFonts w:ascii="Calibri" w:hAnsi="Calibri"/>
          <w:i/>
          <w:color w:val="D66E1F"/>
          <w:sz w:val="20"/>
        </w:rPr>
        <w:t>Slide Alignment &amp; Tone: Slide 3 | Direct, hardware-focused tone.</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To handle zero-connectivity field conditions, we run quantized TensorFlow Lite models on a portable Raspberry Pi edge unit. Costing under ₹8,000 per field kit, it performs real-time boundary detection directly off field camera streams right at the survey site without relying on cloud infrastructure.</w:t>
            </w:r>
          </w:p>
        </w:tc>
      </w:tr>
    </w:tbl>
    <w:p/>
    <w:p>
      <w:r>
        <w:rPr>
          <w:rFonts w:ascii="Calibri" w:hAnsi="Calibri"/>
          <w:b/>
          <w:color w:val="1E4D2B"/>
          <w:sz w:val="25"/>
        </w:rPr>
        <w:t>Speaker 5: Risk &amp; QA Lead (2:00 - 2:30)</w:t>
      </w:r>
    </w:p>
    <w:p>
      <w:r>
        <w:rPr>
          <w:rFonts w:ascii="Calibri" w:hAnsi="Calibri"/>
          <w:i/>
          <w:color w:val="D66E1F"/>
          <w:sz w:val="20"/>
        </w:rPr>
        <w:t>Slide Alignment &amp; Tone: Slide 4 | Grounded, problem-solver mindset.</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Dense urban Indian settlements often lead to boundary overlap risks. We resolve this using transfer learning on regional imagery and weak supervision. Additionally, our Web-GIS portal incorporates confidence scoring and a Human-in-the-Loop review workflow so surveyors can verify complex boundaries with complete legal accuracy.</w:t>
            </w:r>
          </w:p>
        </w:tc>
      </w:tr>
    </w:tbl>
    <w:p/>
    <w:p>
      <w:r>
        <w:rPr>
          <w:rFonts w:ascii="Calibri" w:hAnsi="Calibri"/>
          <w:b/>
          <w:color w:val="1E4D2B"/>
          <w:sz w:val="25"/>
        </w:rPr>
        <w:t>Speaker 6: Impact &amp; Pitch Closer (2:30 - 3:00)</w:t>
      </w:r>
    </w:p>
    <w:p>
      <w:r>
        <w:rPr>
          <w:rFonts w:ascii="Calibri" w:hAnsi="Calibri"/>
          <w:i/>
          <w:color w:val="D66E1F"/>
          <w:sz w:val="20"/>
        </w:rPr>
        <w:t>Slide Alignment &amp; Tone: Slide 5 | Strong, memorable closing.</w:t>
      </w:r>
    </w:p>
    <w:tbl>
      <w:tblPr>
        <w:tblW w:type="auto" w:w="0"/>
        <w:jc w:val="center"/>
        <w:tblLayout w:type="fixed"/>
        <w:tblLook w:firstColumn="1" w:firstRow="1" w:lastColumn="0" w:lastRow="0" w:noHBand="0" w:noVBand="1" w:val="04A0"/>
      </w:tblPr>
      <w:tblGrid>
        <w:gridCol w:w="9360"/>
      </w:tblGrid>
      <w:tr>
        <w:tc>
          <w:tcPr>
            <w:tcW w:type="dxa" w:w="9360"/>
            <w:shd w:fill="F4F7F5"/>
            <w:tcBorders>
              <w:top w:val="none"/>
              <w:left w:val="single" w:sz="24" w:space="0" w:color="1E4D2B"/>
              <w:bottom w:val="none"/>
              <w:right w:val="none"/>
            </w:tcBorders>
          </w:tcPr>
          <w:p>
            <w:r>
              <w:rPr>
                <w:rFonts w:ascii="Calibri" w:hAnsi="Calibri"/>
                <w:color w:val="282828"/>
                <w:sz w:val="21"/>
              </w:rPr>
              <w:t>GeoGovGadget directly aligns with national land digitization initiatives like the SVAMITVA Scheme and DILRMP. By cutting survey turnaround times from months down to weeks and minimizing boundary disputes, GeoGovGadget delivers scalable, AI-powered land governance for India. Thank you, and we welcome your questions!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