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E4D2B"/>
          <w:sz w:val="40"/>
        </w:rPr>
        <w:t>HONEST 4-MONTH REALITY-CHECK TIMELINE</w:t>
      </w:r>
    </w:p>
    <w:p>
      <w:pPr>
        <w:jc w:val="center"/>
      </w:pPr>
      <w:r>
        <w:rPr>
          <w:rFonts w:ascii="Calibri" w:hAnsi="Calibri"/>
          <w:i/>
          <w:color w:val="D66E1F"/>
          <w:sz w:val="22"/>
        </w:rPr>
        <w:t>Project GeoGovGadget — Smart India Hackathon 2026</w:t>
        <w:br/>
        <w:t>Team: INFERICS | Problem Statement ID: 26012</w:t>
      </w:r>
    </w:p>
    <w:p/>
    <w:p>
      <w:r>
        <w:rPr>
          <w:rFonts w:ascii="Calibri" w:hAnsi="Calibri"/>
          <w:sz w:val="22"/>
        </w:rPr>
        <w:t>This timeline tracks the real-world execution of the GeoGovGadget 4-month sprint. It transparently contrasts theoretical hackathon deliverables against actual technical progress, hardware bottlenecks, and data constraints.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shd w:fill="1E4D2B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Phase &amp; Timeframe</w:t>
            </w:r>
          </w:p>
        </w:tc>
        <w:tc>
          <w:tcPr>
            <w:tcW w:type="dxa" w:w="2736"/>
            <w:shd w:fill="1E4D2B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Proposed Plan (What's Claimed)</w:t>
            </w:r>
          </w:p>
        </w:tc>
        <w:tc>
          <w:tcPr>
            <w:tcW w:type="dxa" w:w="2736"/>
            <w:shd w:fill="1E4D2B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Actual Execution (What's Done)</w:t>
            </w:r>
          </w:p>
        </w:tc>
        <w:tc>
          <w:tcPr>
            <w:tcW w:type="dxa" w:w="3024"/>
            <w:shd w:fill="1E4D2B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Engineering Reality &amp; Risk Mitigation</w:t>
            </w:r>
          </w:p>
        </w:tc>
      </w:tr>
      <w:tr>
        <w:tc>
          <w:tcPr>
            <w:tcW w:type="dxa" w:w="2304"/>
          </w:tcPr>
          <w:p>
            <w:r>
              <w:rPr>
                <w:rFonts w:ascii="Calibri" w:hAnsi="Calibri"/>
                <w:color w:val="282828"/>
                <w:sz w:val="19"/>
              </w:rPr>
              <w:t>Month 1: Setup &amp; Data Pipelines</w:t>
            </w:r>
          </w:p>
        </w:tc>
        <w:tc>
          <w:tcPr>
            <w:tcW w:type="dxa" w:w="2736"/>
          </w:tcPr>
          <w:p>
            <w:r>
              <w:rPr>
                <w:rFonts w:ascii="Calibri" w:hAnsi="Calibri"/>
                <w:color w:val="282828"/>
                <w:sz w:val="19"/>
              </w:rPr>
              <w:t>• Full access to high-res drone imagery &amp; SVAMITVA/DILRMP datasets.</w:t>
              <w:br/>
              <w:t>• Complete OpenCV &amp; GDAL ingestion pipelines ready.</w:t>
            </w:r>
          </w:p>
        </w:tc>
        <w:tc>
          <w:tcPr>
            <w:tcW w:type="dxa" w:w="2736"/>
          </w:tcPr>
          <w:p>
            <w:r>
              <w:rPr>
                <w:rFonts w:ascii="Calibri" w:hAnsi="Calibri"/>
                <w:color w:val="282828"/>
                <w:sz w:val="19"/>
              </w:rPr>
              <w:t>• Baseline public satellite/open drone datasets ingested.</w:t>
              <w:br/>
              <w:t>• OpenCV normalization &amp; standard raster cropping pipelines built.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color w:val="282828"/>
                <w:sz w:val="19"/>
              </w:rPr>
              <w:t>• Bottleneck: Proprietary government survey data takes time to access.</w:t>
              <w:br/>
              <w:t>• Fix: Synthetic data augmentation &amp; public GIS data bootstrapping.</w:t>
            </w:r>
          </w:p>
        </w:tc>
      </w:tr>
      <w:tr>
        <w:tc>
          <w:tcPr>
            <w:tcW w:type="dxa" w:w="2304"/>
            <w:shd w:fill="F4F7F5"/>
          </w:tcPr>
          <w:p>
            <w:r>
              <w:rPr>
                <w:rFonts w:ascii="Calibri" w:hAnsi="Calibri"/>
                <w:color w:val="282828"/>
                <w:sz w:val="19"/>
              </w:rPr>
              <w:t>Month 2: Core AI &amp; Edge Prototype</w:t>
            </w:r>
          </w:p>
        </w:tc>
        <w:tc>
          <w:tcPr>
            <w:tcW w:type="dxa" w:w="2736"/>
            <w:shd w:fill="F4F7F5"/>
          </w:tcPr>
          <w:p>
            <w:r>
              <w:rPr>
                <w:rFonts w:ascii="Calibri" w:hAnsi="Calibri"/>
                <w:color w:val="282828"/>
                <w:sz w:val="19"/>
              </w:rPr>
              <w:t>• Fully trained U-Net/Mask R-CNN models running offline on Raspberry Pi.</w:t>
              <w:br/>
              <w:t>• 100% automated vector boundary extraction.</w:t>
            </w:r>
          </w:p>
        </w:tc>
        <w:tc>
          <w:tcPr>
            <w:tcW w:type="dxa" w:w="2736"/>
            <w:shd w:fill="F4F7F5"/>
          </w:tcPr>
          <w:p>
            <w:r>
              <w:rPr>
                <w:rFonts w:ascii="Calibri" w:hAnsi="Calibri"/>
                <w:color w:val="282828"/>
                <w:sz w:val="19"/>
              </w:rPr>
              <w:t>• U-Net segmentation core functional on GPU.</w:t>
              <w:br/>
              <w:t>• Basic vector conversion working.</w:t>
              <w:br/>
              <w:t>• Quantized TFLite running on Raspberry Pi for simple scenes.</w:t>
            </w:r>
          </w:p>
        </w:tc>
        <w:tc>
          <w:tcPr>
            <w:tcW w:type="dxa" w:w="3024"/>
            <w:shd w:fill="F4F7F5"/>
          </w:tcPr>
          <w:p>
            <w:r>
              <w:rPr>
                <w:rFonts w:ascii="Calibri" w:hAnsi="Calibri"/>
                <w:color w:val="282828"/>
                <w:sz w:val="19"/>
              </w:rPr>
              <w:t>• Bottleneck: Pi thermal throttling &amp; RAM limits on ultra-high-res rasters.</w:t>
              <w:br/>
              <w:t>• Fix: Dynamic tiling (patch-based inference) &amp; model pruning.</w:t>
            </w:r>
          </w:p>
        </w:tc>
      </w:tr>
      <w:tr>
        <w:tc>
          <w:tcPr>
            <w:tcW w:type="dxa" w:w="2304"/>
          </w:tcPr>
          <w:p>
            <w:r>
              <w:rPr>
                <w:rFonts w:ascii="Calibri" w:hAnsi="Calibri"/>
                <w:color w:val="282828"/>
                <w:sz w:val="19"/>
              </w:rPr>
              <w:t>Month 3: Web-GIS &amp; Field Testing</w:t>
            </w:r>
          </w:p>
        </w:tc>
        <w:tc>
          <w:tcPr>
            <w:tcW w:type="dxa" w:w="2736"/>
          </w:tcPr>
          <w:p>
            <w:r>
              <w:rPr>
                <w:rFonts w:ascii="Calibri" w:hAnsi="Calibri"/>
                <w:color w:val="282828"/>
                <w:sz w:val="19"/>
              </w:rPr>
              <w:t>• Production-grade Web-GIS portal deployed across active ULBs.</w:t>
              <w:br/>
              <w:t>• Seamless zero-connectivity drone edge processing.</w:t>
            </w:r>
          </w:p>
        </w:tc>
        <w:tc>
          <w:tcPr>
            <w:tcW w:type="dxa" w:w="2736"/>
          </w:tcPr>
          <w:p>
            <w:r>
              <w:rPr>
                <w:rFonts w:ascii="Calibri" w:hAnsi="Calibri"/>
                <w:color w:val="282828"/>
                <w:sz w:val="19"/>
              </w:rPr>
              <w:t>• Web-GIS dashboard functional for baseline polygon review &amp; manual correction.</w:t>
              <w:br/>
              <w:t>• Simulated offline field tests on local edge nodes.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color w:val="282828"/>
                <w:sz w:val="19"/>
              </w:rPr>
              <w:t>• Bottleneck: Irregular Indian urban density causes overlapping vector boundaries.</w:t>
              <w:br/>
              <w:t>• Fix: Confidence scoring &amp; human-in-the-loop manual review interface.</w:t>
            </w:r>
          </w:p>
        </w:tc>
      </w:tr>
      <w:tr>
        <w:tc>
          <w:tcPr>
            <w:tcW w:type="dxa" w:w="2304"/>
            <w:shd w:fill="F4F7F5"/>
          </w:tcPr>
          <w:p>
            <w:r>
              <w:rPr>
                <w:rFonts w:ascii="Calibri" w:hAnsi="Calibri"/>
                <w:color w:val="282828"/>
                <w:sz w:val="19"/>
              </w:rPr>
              <w:t>Month 4: Refinement &amp; Pilot Delivery</w:t>
            </w:r>
          </w:p>
        </w:tc>
        <w:tc>
          <w:tcPr>
            <w:tcW w:type="dxa" w:w="2736"/>
            <w:shd w:fill="F4F7F5"/>
          </w:tcPr>
          <w:p>
            <w:r>
              <w:rPr>
                <w:rFonts w:ascii="Calibri" w:hAnsi="Calibri"/>
                <w:color w:val="282828"/>
                <w:sz w:val="19"/>
              </w:rPr>
              <w:t>• Complete end-to-end automated deployment across municipal bodies.</w:t>
              <w:br/>
              <w:t>• Fully autonomous boundary extraction engine.</w:t>
            </w:r>
          </w:p>
        </w:tc>
        <w:tc>
          <w:tcPr>
            <w:tcW w:type="dxa" w:w="2736"/>
            <w:shd w:fill="F4F7F5"/>
          </w:tcPr>
          <w:p>
            <w:r>
              <w:rPr>
                <w:rFonts w:ascii="Calibri" w:hAnsi="Calibri"/>
                <w:color w:val="282828"/>
                <w:sz w:val="19"/>
              </w:rPr>
              <w:t>• Functional MVP complete with Web-GIS &amp; edge deployment pipeline.</w:t>
              <w:br/>
              <w:t>• Retrained models with edge-case corrections.</w:t>
            </w:r>
          </w:p>
        </w:tc>
        <w:tc>
          <w:tcPr>
            <w:tcW w:type="dxa" w:w="3024"/>
            <w:shd w:fill="F4F7F5"/>
          </w:tcPr>
          <w:p>
            <w:r>
              <w:rPr>
                <w:rFonts w:ascii="Calibri" w:hAnsi="Calibri"/>
                <w:color w:val="282828"/>
                <w:sz w:val="19"/>
              </w:rPr>
              <w:t>• Reality: Automated cadastral mapping requires human verification by law.</w:t>
              <w:br/>
              <w:t>• Fix: Position system as an operational accelerator (months → weeks).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