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caps/>
          <w:color w:val="44546A"/>
          <w:sz w:val="20"/>
          <w:szCs w:val="20"/>
        </w:rPr>
        <w:t xml:space="preserve">SMART INDIA HACKATHON 2026</w:t>
      </w:r>
    </w:p>
    <w:p>
      <w:pPr>
        <w:spacing w:after="300"/>
        <w:jc w:val="center"/>
      </w:pPr>
      <w:r>
        <w:rPr>
          <w:rFonts w:ascii="Calibri" w:cs="Calibri" w:eastAsia="Calibri" w:hAnsi="Calibri"/>
          <w:b/>
          <w:bCs/>
          <w:color w:val="1F3864"/>
          <w:sz w:val="34"/>
          <w:szCs w:val="34"/>
        </w:rPr>
        <w:t xml:space="preserve">AI-Based Automated Urban Parcel Mapping and Cadastral Feature Extraction System using Drone Imagery</w:t>
      </w:r>
    </w:p>
    <w:p>
      <w:pPr>
        <w:spacing w:after="400"/>
        <w:jc w:val="center"/>
      </w:pPr>
      <w:r>
        <w:rPr>
          <w:rFonts w:ascii="Calibri" w:cs="Calibri" w:eastAsia="Calibri" w:hAnsi="Calibri"/>
          <w:i/>
          <w:iCs/>
          <w:color w:val="44546A"/>
          <w:sz w:val="22"/>
          <w:szCs w:val="22"/>
        </w:rPr>
        <w:t xml:space="preserve">A project narrative and technical documentation for Problem Statement 26012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EF1F6" w:val="clear"/>
            <w:tcMar>
              <w:top w:type="dxa" w:w="100"/>
              <w:left w:type="dxa" w:w="150"/>
              <w:bottom w:type="dxa" w:w="100"/>
              <w:right w:type="dxa" w:w="150"/>
            </w:tcMar>
          </w:tcPr>
          <w:p>
            <w:r>
              <w:rPr>
                <w:rFonts w:ascii="Calibri" w:cs="Calibri" w:eastAsia="Calibri" w:hAnsi="Calibri"/>
                <w:b/>
                <w:bCs/>
                <w:color w:val="1F3864"/>
                <w:sz w:val="21"/>
                <w:szCs w:val="21"/>
              </w:rPr>
              <w:t xml:space="preserve">Problem Statement ID</w:t>
            </w:r>
          </w:p>
        </w:tc>
        <w:tc>
          <w:tcPr>
            <w:tcW w:type="dxa" w:w="6000"/>
            <w:tcMar>
              <w:top w:type="dxa" w:w="100"/>
              <w:left w:type="dxa" w:w="150"/>
              <w:bottom w:type="dxa" w:w="100"/>
              <w:right w:type="dxa" w:w="150"/>
            </w:tcMar>
          </w:tcPr>
          <w:p>
            <w:r>
              <w:rPr>
                <w:rFonts w:ascii="Calibri" w:cs="Calibri" w:eastAsia="Calibri" w:hAnsi="Calibri"/>
                <w:color w:val="222222"/>
                <w:sz w:val="21"/>
                <w:szCs w:val="21"/>
              </w:rPr>
              <w:t xml:space="preserve">26012</w:t>
            </w:r>
          </w:p>
        </w:tc>
      </w:tr>
      <w:tr>
        <w:tc>
          <w:tcPr>
            <w:tcW w:type="dxa" w:w="3000"/>
            <w:shd w:fill="EEF1F6" w:val="clear"/>
            <w:tcMar>
              <w:top w:type="dxa" w:w="100"/>
              <w:left w:type="dxa" w:w="150"/>
              <w:bottom w:type="dxa" w:w="100"/>
              <w:right w:type="dxa" w:w="150"/>
            </w:tcMar>
          </w:tcPr>
          <w:p>
            <w:r>
              <w:rPr>
                <w:rFonts w:ascii="Calibri" w:cs="Calibri" w:eastAsia="Calibri" w:hAnsi="Calibri"/>
                <w:b/>
                <w:bCs/>
                <w:color w:val="1F3864"/>
                <w:sz w:val="21"/>
                <w:szCs w:val="21"/>
              </w:rPr>
              <w:t xml:space="preserve">Organization</w:t>
            </w:r>
          </w:p>
        </w:tc>
        <w:tc>
          <w:tcPr>
            <w:tcW w:type="dxa" w:w="6000"/>
            <w:tcMar>
              <w:top w:type="dxa" w:w="100"/>
              <w:left w:type="dxa" w:w="150"/>
              <w:bottom w:type="dxa" w:w="100"/>
              <w:right w:type="dxa" w:w="150"/>
            </w:tcMar>
          </w:tcPr>
          <w:p>
            <w:r>
              <w:rPr>
                <w:rFonts w:ascii="Calibri" w:cs="Calibri" w:eastAsia="Calibri" w:hAnsi="Calibri"/>
                <w:color w:val="222222"/>
                <w:sz w:val="21"/>
                <w:szCs w:val="21"/>
              </w:rPr>
              <w:t xml:space="preserve">Ministry of Rural Development</w:t>
            </w:r>
          </w:p>
        </w:tc>
      </w:tr>
      <w:tr>
        <w:tc>
          <w:tcPr>
            <w:tcW w:type="dxa" w:w="3000"/>
            <w:shd w:fill="EEF1F6" w:val="clear"/>
            <w:tcMar>
              <w:top w:type="dxa" w:w="100"/>
              <w:left w:type="dxa" w:w="150"/>
              <w:bottom w:type="dxa" w:w="100"/>
              <w:right w:type="dxa" w:w="150"/>
            </w:tcMar>
          </w:tcPr>
          <w:p>
            <w:r>
              <w:rPr>
                <w:rFonts w:ascii="Calibri" w:cs="Calibri" w:eastAsia="Calibri" w:hAnsi="Calibri"/>
                <w:b/>
                <w:bCs/>
                <w:color w:val="1F3864"/>
                <w:sz w:val="21"/>
                <w:szCs w:val="21"/>
              </w:rPr>
              <w:t xml:space="preserve">Department</w:t>
            </w:r>
          </w:p>
        </w:tc>
        <w:tc>
          <w:tcPr>
            <w:tcW w:type="dxa" w:w="6000"/>
            <w:tcMar>
              <w:top w:type="dxa" w:w="100"/>
              <w:left w:type="dxa" w:w="150"/>
              <w:bottom w:type="dxa" w:w="100"/>
              <w:right w:type="dxa" w:w="150"/>
            </w:tcMar>
          </w:tcPr>
          <w:p>
            <w:r>
              <w:rPr>
                <w:rFonts w:ascii="Calibri" w:cs="Calibri" w:eastAsia="Calibri" w:hAnsi="Calibri"/>
                <w:color w:val="222222"/>
                <w:sz w:val="21"/>
                <w:szCs w:val="21"/>
              </w:rPr>
              <w:t xml:space="preserve">Department of Land Resources (DoLR)</w:t>
            </w:r>
          </w:p>
        </w:tc>
      </w:tr>
      <w:tr>
        <w:tc>
          <w:tcPr>
            <w:tcW w:type="dxa" w:w="3000"/>
            <w:shd w:fill="EEF1F6" w:val="clear"/>
            <w:tcMar>
              <w:top w:type="dxa" w:w="100"/>
              <w:left w:type="dxa" w:w="150"/>
              <w:bottom w:type="dxa" w:w="100"/>
              <w:right w:type="dxa" w:w="150"/>
            </w:tcMar>
          </w:tcPr>
          <w:p>
            <w:r>
              <w:rPr>
                <w:rFonts w:ascii="Calibri" w:cs="Calibri" w:eastAsia="Calibri" w:hAnsi="Calibri"/>
                <w:b/>
                <w:bCs/>
                <w:color w:val="1F3864"/>
                <w:sz w:val="21"/>
                <w:szCs w:val="21"/>
              </w:rPr>
              <w:t xml:space="preserve">Theme</w:t>
            </w:r>
          </w:p>
        </w:tc>
        <w:tc>
          <w:tcPr>
            <w:tcW w:type="dxa" w:w="6000"/>
            <w:tcMar>
              <w:top w:type="dxa" w:w="100"/>
              <w:left w:type="dxa" w:w="150"/>
              <w:bottom w:type="dxa" w:w="100"/>
              <w:right w:type="dxa" w:w="150"/>
            </w:tcMar>
          </w:tcPr>
          <w:p>
            <w:r>
              <w:rPr>
                <w:rFonts w:ascii="Calibri" w:cs="Calibri" w:eastAsia="Calibri" w:hAnsi="Calibri"/>
                <w:color w:val="222222"/>
                <w:sz w:val="21"/>
                <w:szCs w:val="21"/>
              </w:rPr>
              <w:t xml:space="preserve">Robotics &amp; Drones</w:t>
            </w:r>
          </w:p>
        </w:tc>
      </w:tr>
    </w:tbl>
    <w:p>
      <w:r>
        <w:br w:type="page"/>
      </w:r>
    </w:p>
    <w:p>
      <w:pPr>
        <w:pStyle w:val="Heading1"/>
        <w:spacing w:after="200" w:before="400"/>
      </w:pPr>
      <w:r>
        <w:rPr>
          <w:rFonts w:ascii="Calibri" w:cs="Calibri" w:eastAsia="Calibri" w:hAnsi="Calibri"/>
          <w:b/>
          <w:bCs/>
          <w:color w:val="1F3864"/>
          <w:sz w:val="30"/>
          <w:szCs w:val="30"/>
        </w:rPr>
        <w:t xml:space="preserve">1. Introduction</w:t>
      </w:r>
    </w:p>
    <w:p>
      <w:pPr>
        <w:spacing w:after="200" w:line="300"/>
        <w:jc w:val="both"/>
      </w:pPr>
      <w:r>
        <w:rPr>
          <w:rFonts w:ascii="Calibri" w:cs="Calibri" w:eastAsia="Calibri" w:hAnsi="Calibri"/>
          <w:i w:val="false"/>
          <w:iCs w:val="false"/>
          <w:color w:val="222222"/>
          <w:sz w:val="22"/>
          <w:szCs w:val="22"/>
        </w:rPr>
        <w:t xml:space="preserve">Every city in India runs on a quiet layer of paperwork that most residents never think about: the cadastral record — the official map of who owns which piece of land, where one property ends and the next begins. It sits behind property tax bills, loan approvals, government land acquisition, and the resolution of neighbourly disputes over a wall built a foot too far. When that record is accurate, life continues undisturbed. When it is outdated, ambiguous, or missing, the consequences surface slowly and expensively — in courtrooms, in stalled infrastructure projects, and in families who cannot prove what is legally theirs.</w:t>
      </w:r>
    </w:p>
    <w:p>
      <w:pPr>
        <w:spacing w:after="200" w:line="300"/>
        <w:jc w:val="both"/>
      </w:pPr>
      <w:r>
        <w:rPr>
          <w:rFonts w:ascii="Calibri" w:cs="Calibri" w:eastAsia="Calibri" w:hAnsi="Calibri"/>
          <w:i w:val="false"/>
          <w:iCs w:val="false"/>
          <w:color w:val="222222"/>
          <w:sz w:val="22"/>
          <w:szCs w:val="22"/>
        </w:rPr>
        <w:t xml:space="preserve">This project responds to Problem Statement 26012, issued by the Department of Land Resources under the Ministry of Rural Development, which asks for a way to modernize cadastral mapping using drone imagery. Our response is a GeoAI pipeline — a system that combines geospatial data processing with artificial intelligence — capable of converting raw drone imagery into verified, GIS-ready cadastral parcel maps. Where this work today takes a survey team months to complete for a single urban ward, our pipeline is designed to compress that timeline to weeks, without asking anyone to trust an algorithm blindly.</w:t>
      </w:r>
    </w:p>
    <w:p>
      <w:pPr>
        <w:pStyle w:val="Heading1"/>
        <w:spacing w:after="200" w:before="400"/>
      </w:pPr>
      <w:r>
        <w:rPr>
          <w:rFonts w:ascii="Calibri" w:cs="Calibri" w:eastAsia="Calibri" w:hAnsi="Calibri"/>
          <w:b/>
          <w:bCs/>
          <w:color w:val="1F3864"/>
          <w:sz w:val="30"/>
          <w:szCs w:val="30"/>
        </w:rPr>
        <w:t xml:space="preserve">2. The Challenge We Are Addressing</w:t>
      </w:r>
    </w:p>
    <w:p>
      <w:pPr>
        <w:spacing w:after="200" w:line="300"/>
        <w:jc w:val="both"/>
      </w:pPr>
      <w:r>
        <w:rPr>
          <w:rFonts w:ascii="Calibri" w:cs="Calibri" w:eastAsia="Calibri" w:hAnsi="Calibri"/>
          <w:i w:val="false"/>
          <w:iCs w:val="false"/>
          <w:color w:val="222222"/>
          <w:sz w:val="22"/>
          <w:szCs w:val="22"/>
        </w:rPr>
        <w:t xml:space="preserve">Cadastral mapping, as it is practiced today, is slow, manual, and error-prone — and the reasons why are worth walking through in some depth, because they shape every design decision in our solution.</w:t>
      </w:r>
    </w:p>
    <w:p>
      <w:pPr>
        <w:pStyle w:val="Heading2"/>
        <w:spacing w:after="150" w:before="300"/>
      </w:pPr>
      <w:r>
        <w:rPr>
          <w:rFonts w:ascii="Calibri" w:cs="Calibri" w:eastAsia="Calibri" w:hAnsi="Calibri"/>
          <w:b/>
          <w:bCs/>
          <w:color w:val="44546A"/>
          <w:sz w:val="24"/>
          <w:szCs w:val="24"/>
        </w:rPr>
        <w:t xml:space="preserve">2.1 Manual Digitization</w:t>
      </w:r>
    </w:p>
    <w:p>
      <w:pPr>
        <w:spacing w:after="200" w:line="300"/>
        <w:jc w:val="both"/>
      </w:pPr>
      <w:r>
        <w:rPr>
          <w:rFonts w:ascii="Calibri" w:cs="Calibri" w:eastAsia="Calibri" w:hAnsi="Calibri"/>
          <w:i w:val="false"/>
          <w:iCs w:val="false"/>
          <w:color w:val="222222"/>
          <w:sz w:val="22"/>
          <w:szCs w:val="22"/>
        </w:rPr>
        <w:t xml:space="preserve">The dominant method for producing a cadastral map today involves a technician sitting at a desktop GIS workstation, looking at drone or satellite imagery, and manually clicking along the visible edges of every parcel to trace its boundary. This is not merely slow — it does not get faster with practice or scale the way automated systems do. Twice the land area simply means twice the tracing time. And because boundary lines are often inferred from ambiguous visual cues — a fence, a change in vegetation, a faint shadow — two technicians tracing the same imagery will frequently draw two different boundaries for the same plot. Consistency, not just speed, is a genuine casualty of manual tracing.</w:t>
      </w:r>
    </w:p>
    <w:p>
      <w:pPr>
        <w:pStyle w:val="Heading2"/>
        <w:spacing w:after="150" w:before="300"/>
      </w:pPr>
      <w:r>
        <w:rPr>
          <w:rFonts w:ascii="Calibri" w:cs="Calibri" w:eastAsia="Calibri" w:hAnsi="Calibri"/>
          <w:b/>
          <w:bCs/>
          <w:color w:val="44546A"/>
          <w:sz w:val="24"/>
          <w:szCs w:val="24"/>
        </w:rPr>
        <w:t xml:space="preserve">2.2 Dense, Irregular Geometry</w:t>
      </w:r>
    </w:p>
    <w:p>
      <w:pPr>
        <w:spacing w:after="200" w:line="300"/>
        <w:jc w:val="both"/>
      </w:pPr>
      <w:r>
        <w:rPr>
          <w:rFonts w:ascii="Calibri" w:cs="Calibri" w:eastAsia="Calibri" w:hAnsi="Calibri"/>
          <w:i w:val="false"/>
          <w:iCs w:val="false"/>
          <w:color w:val="222222"/>
          <w:sz w:val="22"/>
          <w:szCs w:val="22"/>
        </w:rPr>
        <w:t xml:space="preserve">Indian urban areas complicate this problem further. Plots are frequently small, tightly packed, and irregularly shaped. Overlapping structures, encroachments — where a wall or structure has been built past its legal boundary — and narrow lanes barely a metre wide all mean that the visual boundary visible in an image and the legal boundary recorded on paper often do not agree. This is arguably the hardest part of the entire problem: no amount of image resolution resolves a disagreement between what is physically built and what is legally owned. It requires judgment, not just clearer pixels.</w:t>
      </w:r>
    </w:p>
    <w:p>
      <w:pPr>
        <w:pStyle w:val="Heading2"/>
        <w:spacing w:after="150" w:before="300"/>
      </w:pPr>
      <w:r>
        <w:rPr>
          <w:rFonts w:ascii="Calibri" w:cs="Calibri" w:eastAsia="Calibri" w:hAnsi="Calibri"/>
          <w:b/>
          <w:bCs/>
          <w:color w:val="44546A"/>
          <w:sz w:val="24"/>
          <w:szCs w:val="24"/>
        </w:rPr>
        <w:t xml:space="preserve">2.3 Delayed Land Records</w:t>
      </w:r>
    </w:p>
    <w:p>
      <w:pPr>
        <w:spacing w:after="200" w:line="300"/>
        <w:jc w:val="both"/>
      </w:pPr>
      <w:r>
        <w:rPr>
          <w:rFonts w:ascii="Calibri" w:cs="Calibri" w:eastAsia="Calibri" w:hAnsi="Calibri"/>
          <w:i w:val="false"/>
          <w:iCs w:val="false"/>
          <w:color w:val="222222"/>
          <w:sz w:val="22"/>
          <w:szCs w:val="22"/>
        </w:rPr>
        <w:t xml:space="preserve">Finally, even once imagery has been captured and interpreted, official cadastral records typically require ground-truthing — physically sending a surveyor to the site with GPS equipment to confirm disputed or unclear boundaries. This step alone, performed at the pace of human fieldwork, is what stretches survey timelines out to months for a single town or ward.</w:t>
      </w:r>
    </w:p>
    <w:p>
      <w:pPr>
        <w:spacing w:after="200" w:line="300"/>
        <w:jc w:val="both"/>
      </w:pPr>
      <w:r>
        <w:rPr>
          <w:rFonts w:ascii="Calibri" w:cs="Calibri" w:eastAsia="Calibri" w:hAnsi="Calibri"/>
          <w:i w:val="false"/>
          <w:iCs w:val="false"/>
          <w:color w:val="222222"/>
          <w:sz w:val="22"/>
          <w:szCs w:val="22"/>
        </w:rPr>
        <w:t xml:space="preserve">Taken together, these three problems point to a single underlying observation: the raw data required to automate large parts of this process — orthorectified drone imagery, surface and terrain elevation models, and existing GIS layers — is now being captured routinely as part of government drone survey programmes. The bottleneck is no longer data availability. It is processing capacity. That is precisely the kind of constraint artificial intelligence is well suited to relieve.</w:t>
      </w:r>
    </w:p>
    <w:p>
      <w:pPr>
        <w:pStyle w:val="Heading1"/>
        <w:spacing w:after="200" w:before="400"/>
      </w:pPr>
      <w:r>
        <w:rPr>
          <w:rFonts w:ascii="Calibri" w:cs="Calibri" w:eastAsia="Calibri" w:hAnsi="Calibri"/>
          <w:b/>
          <w:bCs/>
          <w:color w:val="1F3864"/>
          <w:sz w:val="30"/>
          <w:szCs w:val="30"/>
        </w:rPr>
        <w:t xml:space="preserve">3. Our Solution: A Human-in-the-Loop GeoAI Pipeline</w:t>
      </w:r>
    </w:p>
    <w:p>
      <w:pPr>
        <w:spacing w:after="200" w:line="300"/>
        <w:jc w:val="both"/>
      </w:pPr>
      <w:r>
        <w:rPr>
          <w:rFonts w:ascii="Calibri" w:cs="Calibri" w:eastAsia="Calibri" w:hAnsi="Calibri"/>
          <w:i w:val="false"/>
          <w:iCs w:val="false"/>
          <w:color w:val="222222"/>
          <w:sz w:val="22"/>
          <w:szCs w:val="22"/>
        </w:rPr>
        <w:t xml:space="preserve">Our proposed system is deliberately not a fully autonomous black box. Land records carry legal weight, and an AI system that silently finalizes boundaries without any human oversight would be both technically risky and, frankly, a difficult system for any government department to responsibly adopt. Instead, we have built a six-stage pipeline in which artificial intelligence performs the bulk of repetitive extraction work, while every parcel the system is uncertain about, or which conflicts with a neighbouring parcel, is routed to a human reviewer before it is ever finalized.</w:t>
      </w:r>
    </w:p>
    <w:p>
      <w:pPr>
        <w:spacing w:after="200" w:line="300"/>
        <w:jc w:val="both"/>
      </w:pPr>
      <w:r>
        <w:rPr>
          <w:rFonts w:ascii="Calibri" w:cs="Calibri" w:eastAsia="Calibri" w:hAnsi="Calibri"/>
          <w:i w:val="false"/>
          <w:iCs w:val="false"/>
          <w:color w:val="222222"/>
          <w:sz w:val="22"/>
          <w:szCs w:val="22"/>
        </w:rPr>
        <w:t xml:space="preserve">The six stages — Ingest &amp; Fuse, AI Segmentation, Vectorize, Validate, Review, and Deliver — form a continuous chain in which each stage's output becomes the next stage's input. We describe each below.</w:t>
      </w:r>
    </w:p>
    <w:p>
      <w:pPr>
        <w:pStyle w:val="Heading2"/>
        <w:spacing w:after="150" w:before="300"/>
      </w:pPr>
      <w:r>
        <w:rPr>
          <w:rFonts w:ascii="Calibri" w:cs="Calibri" w:eastAsia="Calibri" w:hAnsi="Calibri"/>
          <w:b/>
          <w:bCs/>
          <w:color w:val="44546A"/>
          <w:sz w:val="24"/>
          <w:szCs w:val="24"/>
        </w:rPr>
        <w:t xml:space="preserve">3.1 Stage One and Two: Data Fusion and AI-Based Feature Extraction</w:t>
      </w:r>
    </w:p>
    <w:p>
      <w:pPr>
        <w:spacing w:after="200" w:line="300"/>
        <w:jc w:val="both"/>
      </w:pPr>
      <w:r>
        <w:rPr>
          <w:rFonts w:ascii="Calibri" w:cs="Calibri" w:eastAsia="Calibri" w:hAnsi="Calibri"/>
          <w:i w:val="false"/>
          <w:iCs w:val="false"/>
          <w:color w:val="222222"/>
          <w:sz w:val="22"/>
          <w:szCs w:val="22"/>
        </w:rPr>
        <w:t xml:space="preserve">The pipeline begins by bringing together several distinct sources of information: high-resolution drone imagery, orthorectified imagery corrected for lens and terrain distortion, a Digital Surface Model and Digital Terrain Model pair, existing GIS parcel layers, and high-precision GNSS and CORS survey points. Because these inputs are typically captured at different times, resolutions, and coordinate alignments, this first stage aligns and tiles them into a single, consistent dataset that downstream models can safely process.</w:t>
      </w:r>
    </w:p>
    <w:p>
      <w:pPr>
        <w:spacing w:after="200" w:line="300"/>
        <w:jc w:val="both"/>
      </w:pPr>
      <w:r>
        <w:rPr>
          <w:rFonts w:ascii="Calibri" w:cs="Calibri" w:eastAsia="Calibri" w:hAnsi="Calibri"/>
          <w:i w:val="false"/>
          <w:iCs w:val="false"/>
          <w:color w:val="222222"/>
          <w:sz w:val="22"/>
          <w:szCs w:val="22"/>
        </w:rPr>
        <w:t xml:space="preserve">From that fused dataset, three specialized tasks run in parallel. The first, building and parcel segmentation, uses U-Net and Mask R-CNN architectures fine-tuned specifically on Indian urban imagery. Crucially, these models are not shown ordinary colour photographs alone — they also receive what is known as an nDSM channel, calculated by subtracting the terrain elevation model from the surface elevation model. The result is a measure of how tall each object in the scene actually is. This single addition solves a problem that colour imagery alone cannot: distinguishing a real rooftop from a dark shadow or a painted marking on the ground, both of which can look deceptively similar in an ordinary photograph but have entirely different heights in the real world.</w:t>
      </w:r>
    </w:p>
    <w:p>
      <w:pPr>
        <w:spacing w:after="200" w:line="300"/>
        <w:jc w:val="both"/>
      </w:pPr>
      <w:r>
        <w:rPr>
          <w:rFonts w:ascii="Calibri" w:cs="Calibri" w:eastAsia="Calibri" w:hAnsi="Calibri"/>
          <w:i w:val="false"/>
          <w:iCs w:val="false"/>
          <w:color w:val="222222"/>
          <w:sz w:val="22"/>
          <w:szCs w:val="22"/>
        </w:rPr>
        <w:t xml:space="preserve">The second task, road and corridor detection, deliberately runs as a separate, lightweight model rather than being folded into the same segmentation pass as buildings. Roads are long, thin, and branching, while buildings are compact and blob-like — architectures tuned for one shape tend to underperform on the other, so keeping them apart improves precision on both. The third task, land-use classification, is comparatively lightweight: once a parcel's shape, size, and surrounding context are known, a much simpler model can classify it as residential, commercial, mixed-use, or vacant without needing another heavy vision model of its own.</w:t>
      </w:r>
    </w:p>
    <w:p>
      <w:pPr>
        <w:pStyle w:val="Heading2"/>
        <w:spacing w:after="150" w:before="300"/>
      </w:pPr>
      <w:r>
        <w:rPr>
          <w:rFonts w:ascii="Calibri" w:cs="Calibri" w:eastAsia="Calibri" w:hAnsi="Calibri"/>
          <w:b/>
          <w:bCs/>
          <w:color w:val="44546A"/>
          <w:sz w:val="24"/>
          <w:szCs w:val="24"/>
        </w:rPr>
        <w:t xml:space="preserve">3.2 Stage Three and Four: From Pixel Masks to Validated Polygons</w:t>
      </w:r>
    </w:p>
    <w:p>
      <w:pPr>
        <w:spacing w:after="200" w:line="300"/>
        <w:jc w:val="both"/>
      </w:pPr>
      <w:r>
        <w:rPr>
          <w:rFonts w:ascii="Calibri" w:cs="Calibri" w:eastAsia="Calibri" w:hAnsi="Calibri"/>
          <w:i w:val="false"/>
          <w:iCs w:val="false"/>
          <w:color w:val="222222"/>
          <w:sz w:val="22"/>
          <w:szCs w:val="22"/>
        </w:rPr>
        <w:t xml:space="preserve">Artificial intelligence models produce their output as a grid of classified pixels, but geographic information systems — and the legal records they support — require precise geometric shapes. Bridging that gap is the purpose of the third and fourth stages.</w:t>
      </w:r>
    </w:p>
    <w:p>
      <w:pPr>
        <w:spacing w:after="200" w:line="300"/>
        <w:jc w:val="both"/>
      </w:pPr>
      <w:r>
        <w:rPr>
          <w:rFonts w:ascii="Calibri" w:cs="Calibri" w:eastAsia="Calibri" w:hAnsi="Calibri"/>
          <w:i w:val="false"/>
          <w:iCs w:val="false"/>
          <w:color w:val="222222"/>
          <w:sz w:val="22"/>
          <w:szCs w:val="22"/>
        </w:rPr>
        <w:t xml:space="preserve">Contour extraction traces the outer boundary of every AI-detected pixel region into a rough polygon outline. Because this outline initially follows the jagged, staircase-like edges of the pixel grid itself, a Douglas-Peucker style simplification step follows, smoothing that boundary into a small number of vertices that plausibly resembles an actual surveyed property line, rather than a pixelated approximation of one.</w:t>
      </w:r>
    </w:p>
    <w:p>
      <w:pPr>
        <w:spacing w:after="200" w:line="300"/>
        <w:jc w:val="both"/>
      </w:pPr>
      <w:r>
        <w:rPr>
          <w:rFonts w:ascii="Calibri" w:cs="Calibri" w:eastAsia="Calibri" w:hAnsi="Calibri"/>
          <w:i w:val="false"/>
          <w:iCs w:val="false"/>
          <w:color w:val="222222"/>
          <w:sz w:val="22"/>
          <w:szCs w:val="22"/>
        </w:rPr>
        <w:t xml:space="preserve">Two further checks then run automatically, before any human ever sees the output. Topology snapping draws adjacent parcel boundaries together to close the tiny gaps that inevitably appear when neighbouring parcels are segmented somewhat independently of one another. Conflict detection, meanwhile, identifies genuine overlaps between parcels that snapping cannot resolve — treating them not as a bug to quietly patch over, but as a meaningful signal that either an encroachment or a segmentation error has occurred, and flagging it for a human to examine. Together, these checks are what make the pipeline's output usable in a real GIS system at all: no self-intersecting polygons, no unexplained slivers of unclaimed land, no silent gaps between plots that are supposed to share a boundary.</w:t>
      </w:r>
    </w:p>
    <w:p>
      <w:pPr>
        <w:pStyle w:val="Heading2"/>
        <w:spacing w:after="150" w:before="300"/>
      </w:pPr>
      <w:r>
        <w:rPr>
          <w:rFonts w:ascii="Calibri" w:cs="Calibri" w:eastAsia="Calibri" w:hAnsi="Calibri"/>
          <w:b/>
          <w:bCs/>
          <w:color w:val="44546A"/>
          <w:sz w:val="24"/>
          <w:szCs w:val="24"/>
        </w:rPr>
        <w:t xml:space="preserve">3.3 Stage Five: Human Review on a Web-GIS Dashboard</w:t>
      </w:r>
    </w:p>
    <w:p>
      <w:pPr>
        <w:spacing w:after="200" w:line="300"/>
        <w:jc w:val="both"/>
      </w:pPr>
      <w:r>
        <w:rPr>
          <w:rFonts w:ascii="Calibri" w:cs="Calibri" w:eastAsia="Calibri" w:hAnsi="Calibri"/>
          <w:i w:val="false"/>
          <w:iCs w:val="false"/>
          <w:color w:val="222222"/>
          <w:sz w:val="22"/>
          <w:szCs w:val="22"/>
        </w:rPr>
        <w:t xml:space="preserve">Every parcel and building the pipeline produces carries a confidence score reflecting how certain the underlying model is. Rather than asking a reviewer to examine every single parcel in a district, the system uses this score, together with the conflict flags from the previous stage, to route only the parcels that genuinely need attention into a review queue. In practice, this means that if a ward contains fifty thousand parcels and only five per cent require review, a human reviewer examines roughly two and a half thousand of them rather than all fifty thousand — a reduction that is what actually makes human oversight viable at city scale, rather than merely viable in principle.</w:t>
      </w:r>
    </w:p>
    <w:p>
      <w:pPr>
        <w:spacing w:after="200" w:line="300"/>
        <w:jc w:val="both"/>
      </w:pPr>
      <w:r>
        <w:rPr>
          <w:rFonts w:ascii="Calibri" w:cs="Calibri" w:eastAsia="Calibri" w:hAnsi="Calibri"/>
          <w:i w:val="false"/>
          <w:iCs w:val="false"/>
          <w:color w:val="222222"/>
          <w:sz w:val="22"/>
          <w:szCs w:val="22"/>
        </w:rPr>
        <w:t xml:space="preserve">The review interface itself, which we call the Cadastral Review Console, is a web-based map on which field officers can accept a parcel as correct, reject it, or redraw its boundary directly, with ground-truth and CORS survey points displayed alongside the AI's output as an objective point of reference. We have built this on Leaflet and Mapbox GL for the map interface and PostGIS for spatial storage — a deliberate choice of mature, widely deployed tools already familiar to government GIS teams, rather than bespoke infrastructure that would need to be learned from scratch.</w:t>
      </w:r>
    </w:p>
    <w:p>
      <w:pPr>
        <w:pStyle w:val="Heading2"/>
        <w:spacing w:after="150" w:before="300"/>
      </w:pPr>
      <w:r>
        <w:rPr>
          <w:rFonts w:ascii="Calibri" w:cs="Calibri" w:eastAsia="Calibri" w:hAnsi="Calibri"/>
          <w:b/>
          <w:bCs/>
          <w:color w:val="44546A"/>
          <w:sz w:val="24"/>
          <w:szCs w:val="24"/>
        </w:rPr>
        <w:t xml:space="preserve">3.4 Stage Six: Delivery</w:t>
      </w:r>
    </w:p>
    <w:p>
      <w:pPr>
        <w:spacing w:after="200" w:line="300"/>
        <w:jc w:val="both"/>
      </w:pPr>
      <w:r>
        <w:rPr>
          <w:rFonts w:ascii="Calibri" w:cs="Calibri" w:eastAsia="Calibri" w:hAnsi="Calibri"/>
          <w:i w:val="false"/>
          <w:iCs w:val="false"/>
          <w:color w:val="222222"/>
          <w:sz w:val="22"/>
          <w:szCs w:val="22"/>
        </w:rPr>
        <w:t xml:space="preserve">Once a parcel has cleared automated validation, or has been reviewed and approved by a human where necessary, it is exported into standard formats — shapefile and GeoJSON — that plug directly into whatever GIS system a state or municipal land records department already operates, without requiring them to adopt new software.</w:t>
      </w:r>
    </w:p>
    <w:p>
      <w:pPr>
        <w:pStyle w:val="Heading1"/>
        <w:spacing w:after="200" w:before="400"/>
      </w:pPr>
      <w:r>
        <w:rPr>
          <w:rFonts w:ascii="Calibri" w:cs="Calibri" w:eastAsia="Calibri" w:hAnsi="Calibri"/>
          <w:b/>
          <w:bCs/>
          <w:color w:val="1F3864"/>
          <w:sz w:val="30"/>
          <w:szCs w:val="30"/>
        </w:rPr>
        <w:t xml:space="preserve">4. What the System Delivers</w:t>
      </w:r>
    </w:p>
    <w:p>
      <w:pPr>
        <w:spacing w:after="200" w:line="300"/>
        <w:jc w:val="both"/>
      </w:pPr>
      <w:r>
        <w:rPr>
          <w:rFonts w:ascii="Calibri" w:cs="Calibri" w:eastAsia="Calibri" w:hAnsi="Calibri"/>
          <w:i w:val="false"/>
          <w:iCs w:val="false"/>
          <w:color w:val="222222"/>
          <w:sz w:val="22"/>
          <w:szCs w:val="22"/>
        </w:rPr>
        <w:t xml:space="preserve">At the end of this pipeline sit four concrete deliverables. The AI/ML parcel extraction engine is the reusable core of the system — trainable once and deployable again on new drone captures for other wards or cities. GIS-ready cadastral outputs are the clean shapefile and GeoJSON exports produced at the delivery stage. The web-based visualization dashboard is the review and editing interface described above. And automated topology validation — called out as its own deliverable rather than folded quietly into the engine — is arguably the most defensible technical claim in the whole system, since it is what elevates the output from an AI model's best guess into geometrically sound data that a legal record can actually rely on.</w:t>
      </w:r>
    </w:p>
    <w:p>
      <w:pPr>
        <w:spacing w:after="200" w:line="300"/>
        <w:jc w:val="both"/>
      </w:pPr>
      <w:r>
        <w:rPr>
          <w:rFonts w:ascii="Calibri" w:cs="Calibri" w:eastAsia="Calibri" w:hAnsi="Calibri"/>
          <w:i w:val="false"/>
          <w:iCs w:val="false"/>
          <w:color w:val="222222"/>
          <w:sz w:val="22"/>
          <w:szCs w:val="22"/>
        </w:rPr>
        <w:t xml:space="preserve">The impact we expect follows directly from these deliverables: survey timelines measured in weeks rather than months per ward, boundary accuracy that is more consistent than purely manual tracing because it combines AI consistency with targeted human verification, and a meaningful reduction in manual effort, since reviewers spend their time only on the parcels that genuinely need a second look.</w:t>
      </w:r>
    </w:p>
    <w:p>
      <w:pPr>
        <w:pStyle w:val="Heading1"/>
        <w:spacing w:after="200" w:before="400"/>
      </w:pPr>
      <w:r>
        <w:rPr>
          <w:rFonts w:ascii="Calibri" w:cs="Calibri" w:eastAsia="Calibri" w:hAnsi="Calibri"/>
          <w:b/>
          <w:bCs/>
          <w:color w:val="1F3864"/>
          <w:sz w:val="30"/>
          <w:szCs w:val="30"/>
        </w:rPr>
        <w:t xml:space="preserve">5. Technology Stack</w:t>
      </w:r>
    </w:p>
    <w:p>
      <w:pPr>
        <w:spacing w:after="200" w:line="300"/>
        <w:jc w:val="both"/>
      </w:pPr>
      <w:r>
        <w:rPr>
          <w:rFonts w:ascii="Calibri" w:cs="Calibri" w:eastAsia="Calibri" w:hAnsi="Calibri"/>
          <w:i w:val="false"/>
          <w:iCs w:val="false"/>
          <w:color w:val="222222"/>
          <w:sz w:val="22"/>
          <w:szCs w:val="22"/>
        </w:rPr>
        <w:t xml:space="preserve">Every component of our stack was chosen with one constraint in mind: this system needs to be deployable by a real government GIS team, not merely demonstrable at a hackathon.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c>
          <w:tcPr>
            <w:tcW w:type="dxa" w:w="1800"/>
            <w:shd w:fill="1F3864" w:val="clear"/>
            <w:tcMar>
              <w:top w:type="dxa" w:w="100"/>
              <w:left w:type="dxa" w:w="150"/>
              <w:bottom w:type="dxa" w:w="100"/>
              <w:right w:type="dxa" w:w="150"/>
            </w:tcMar>
          </w:tcPr>
          <w:p>
            <w:r>
              <w:rPr>
                <w:rFonts w:ascii="Calibri" w:cs="Calibri" w:eastAsia="Calibri" w:hAnsi="Calibri"/>
                <w:b/>
                <w:bCs/>
                <w:color w:val="FFFFFF"/>
                <w:sz w:val="20"/>
                <w:szCs w:val="20"/>
              </w:rPr>
              <w:t xml:space="preserve">Layer</w:t>
            </w:r>
          </w:p>
        </w:tc>
        <w:tc>
          <w:tcPr>
            <w:tcW w:type="dxa" w:w="3400"/>
            <w:shd w:fill="1F3864" w:val="clear"/>
            <w:tcMar>
              <w:top w:type="dxa" w:w="100"/>
              <w:left w:type="dxa" w:w="150"/>
              <w:bottom w:type="dxa" w:w="100"/>
              <w:right w:type="dxa" w:w="150"/>
            </w:tcMar>
          </w:tcPr>
          <w:p>
            <w:r>
              <w:rPr>
                <w:rFonts w:ascii="Calibri" w:cs="Calibri" w:eastAsia="Calibri" w:hAnsi="Calibri"/>
                <w:b/>
                <w:bCs/>
                <w:color w:val="FFFFFF"/>
                <w:sz w:val="20"/>
                <w:szCs w:val="20"/>
              </w:rPr>
              <w:t xml:space="preserve">Tools</w:t>
            </w:r>
          </w:p>
        </w:tc>
        <w:tc>
          <w:tcPr>
            <w:tcW w:type="dxa" w:w="3800"/>
            <w:shd w:fill="1F3864" w:val="clear"/>
            <w:tcMar>
              <w:top w:type="dxa" w:w="100"/>
              <w:left w:type="dxa" w:w="150"/>
              <w:bottom w:type="dxa" w:w="100"/>
              <w:right w:type="dxa" w:w="150"/>
            </w:tcMar>
          </w:tcPr>
          <w:p>
            <w:r>
              <w:rPr>
                <w:rFonts w:ascii="Calibri" w:cs="Calibri" w:eastAsia="Calibri" w:hAnsi="Calibri"/>
                <w:b/>
                <w:bCs/>
                <w:color w:val="FFFFFF"/>
                <w:sz w:val="20"/>
                <w:szCs w:val="20"/>
              </w:rPr>
              <w:t xml:space="preserve">Purpose</w:t>
            </w:r>
          </w:p>
        </w:tc>
      </w:tr>
      <w:tr>
        <w:tc>
          <w:tcPr>
            <w:tcW w:type="dxa" w:w="1800"/>
            <w:shd w:fill="EEF1F6" w:val="clear"/>
            <w:tcMar>
              <w:top w:type="dxa" w:w="100"/>
              <w:left w:type="dxa" w:w="150"/>
              <w:bottom w:type="dxa" w:w="100"/>
              <w:right w:type="dxa" w:w="150"/>
            </w:tcMar>
          </w:tcPr>
          <w:p>
            <w:r>
              <w:rPr>
                <w:rFonts w:ascii="Calibri" w:cs="Calibri" w:eastAsia="Calibri" w:hAnsi="Calibri"/>
                <w:b/>
                <w:bCs/>
                <w:color w:val="1F3864"/>
                <w:sz w:val="20"/>
                <w:szCs w:val="20"/>
              </w:rPr>
              <w:t xml:space="preserve">AI / Modeling</w:t>
            </w:r>
          </w:p>
        </w:tc>
        <w:tc>
          <w:tcPr>
            <w:tcW w:type="dxa" w:w="3400"/>
            <w:tcMar>
              <w:top w:type="dxa" w:w="100"/>
              <w:left w:type="dxa" w:w="150"/>
              <w:bottom w:type="dxa" w:w="100"/>
              <w:right w:type="dxa" w:w="150"/>
            </w:tcMar>
          </w:tcPr>
          <w:p>
            <w:r>
              <w:rPr>
                <w:rFonts w:ascii="Calibri" w:cs="Calibri" w:eastAsia="Calibri" w:hAnsi="Calibri"/>
                <w:b w:val="false"/>
                <w:bCs w:val="false"/>
                <w:color w:val="222222"/>
                <w:sz w:val="20"/>
                <w:szCs w:val="20"/>
              </w:rPr>
              <w:t xml:space="preserve">U-Net, Mask R-CNN, CNN-based object detection; PyTorch / TensorFlow</w:t>
            </w:r>
          </w:p>
        </w:tc>
        <w:tc>
          <w:tcPr>
            <w:tcW w:type="dxa" w:w="3800"/>
            <w:tcMar>
              <w:top w:type="dxa" w:w="100"/>
              <w:left w:type="dxa" w:w="150"/>
              <w:bottom w:type="dxa" w:w="100"/>
              <w:right w:type="dxa" w:w="150"/>
            </w:tcMar>
          </w:tcPr>
          <w:p>
            <w:r>
              <w:rPr>
                <w:rFonts w:ascii="Calibri" w:cs="Calibri" w:eastAsia="Calibri" w:hAnsi="Calibri"/>
                <w:b w:val="false"/>
                <w:bCs w:val="false"/>
                <w:color w:val="222222"/>
                <w:sz w:val="20"/>
                <w:szCs w:val="20"/>
              </w:rPr>
              <w:t xml:space="preserve">Pixel-level and instance segmentation of buildings, parcels, and roads</w:t>
            </w:r>
          </w:p>
        </w:tc>
      </w:tr>
      <w:tr>
        <w:tc>
          <w:tcPr>
            <w:tcW w:type="dxa" w:w="1800"/>
            <w:shd w:fill="EEF1F6" w:val="clear"/>
            <w:tcMar>
              <w:top w:type="dxa" w:w="100"/>
              <w:left w:type="dxa" w:w="150"/>
              <w:bottom w:type="dxa" w:w="100"/>
              <w:right w:type="dxa" w:w="150"/>
            </w:tcMar>
          </w:tcPr>
          <w:p>
            <w:r>
              <w:rPr>
                <w:rFonts w:ascii="Calibri" w:cs="Calibri" w:eastAsia="Calibri" w:hAnsi="Calibri"/>
                <w:b/>
                <w:bCs/>
                <w:color w:val="1F3864"/>
                <w:sz w:val="20"/>
                <w:szCs w:val="20"/>
              </w:rPr>
              <w:t xml:space="preserve">Geoprocessing</w:t>
            </w:r>
          </w:p>
        </w:tc>
        <w:tc>
          <w:tcPr>
            <w:tcW w:type="dxa" w:w="3400"/>
            <w:tcMar>
              <w:top w:type="dxa" w:w="100"/>
              <w:left w:type="dxa" w:w="150"/>
              <w:bottom w:type="dxa" w:w="100"/>
              <w:right w:type="dxa" w:w="150"/>
            </w:tcMar>
          </w:tcPr>
          <w:p>
            <w:r>
              <w:rPr>
                <w:rFonts w:ascii="Calibri" w:cs="Calibri" w:eastAsia="Calibri" w:hAnsi="Calibri"/>
                <w:b w:val="false"/>
                <w:bCs w:val="false"/>
                <w:color w:val="222222"/>
                <w:sz w:val="20"/>
                <w:szCs w:val="20"/>
              </w:rPr>
              <w:t xml:space="preserve">GDAL, Rasterio, Shapely</w:t>
            </w:r>
          </w:p>
        </w:tc>
        <w:tc>
          <w:tcPr>
            <w:tcW w:type="dxa" w:w="3800"/>
            <w:tcMar>
              <w:top w:type="dxa" w:w="100"/>
              <w:left w:type="dxa" w:w="150"/>
              <w:bottom w:type="dxa" w:w="100"/>
              <w:right w:type="dxa" w:w="150"/>
            </w:tcMar>
          </w:tcPr>
          <w:p>
            <w:r>
              <w:rPr>
                <w:rFonts w:ascii="Calibri" w:cs="Calibri" w:eastAsia="Calibri" w:hAnsi="Calibri"/>
                <w:b w:val="false"/>
                <w:bCs w:val="false"/>
                <w:color w:val="222222"/>
                <w:sz w:val="20"/>
                <w:szCs w:val="20"/>
              </w:rPr>
              <w:t xml:space="preserve">Raster-to-vector conversion and topology operations</w:t>
            </w:r>
          </w:p>
        </w:tc>
      </w:tr>
      <w:tr>
        <w:tc>
          <w:tcPr>
            <w:tcW w:type="dxa" w:w="1800"/>
            <w:shd w:fill="EEF1F6" w:val="clear"/>
            <w:tcMar>
              <w:top w:type="dxa" w:w="100"/>
              <w:left w:type="dxa" w:w="150"/>
              <w:bottom w:type="dxa" w:w="100"/>
              <w:right w:type="dxa" w:w="150"/>
            </w:tcMar>
          </w:tcPr>
          <w:p>
            <w:r>
              <w:rPr>
                <w:rFonts w:ascii="Calibri" w:cs="Calibri" w:eastAsia="Calibri" w:hAnsi="Calibri"/>
                <w:b/>
                <w:bCs/>
                <w:color w:val="1F3864"/>
                <w:sz w:val="20"/>
                <w:szCs w:val="20"/>
              </w:rPr>
              <w:t xml:space="preserve">Backend &amp; Storage</w:t>
            </w:r>
          </w:p>
        </w:tc>
        <w:tc>
          <w:tcPr>
            <w:tcW w:type="dxa" w:w="3400"/>
            <w:tcMar>
              <w:top w:type="dxa" w:w="100"/>
              <w:left w:type="dxa" w:w="150"/>
              <w:bottom w:type="dxa" w:w="100"/>
              <w:right w:type="dxa" w:w="150"/>
            </w:tcMar>
          </w:tcPr>
          <w:p>
            <w:r>
              <w:rPr>
                <w:rFonts w:ascii="Calibri" w:cs="Calibri" w:eastAsia="Calibri" w:hAnsi="Calibri"/>
                <w:b w:val="false"/>
                <w:bCs w:val="false"/>
                <w:color w:val="222222"/>
                <w:sz w:val="20"/>
                <w:szCs w:val="20"/>
              </w:rPr>
              <w:t xml:space="preserve">PostGIS, REST APIs</w:t>
            </w:r>
          </w:p>
        </w:tc>
        <w:tc>
          <w:tcPr>
            <w:tcW w:type="dxa" w:w="3800"/>
            <w:tcMar>
              <w:top w:type="dxa" w:w="100"/>
              <w:left w:type="dxa" w:w="150"/>
              <w:bottom w:type="dxa" w:w="100"/>
              <w:right w:type="dxa" w:w="150"/>
            </w:tcMar>
          </w:tcPr>
          <w:p>
            <w:r>
              <w:rPr>
                <w:rFonts w:ascii="Calibri" w:cs="Calibri" w:eastAsia="Calibri" w:hAnsi="Calibri"/>
                <w:b w:val="false"/>
                <w:bCs w:val="false"/>
                <w:color w:val="222222"/>
                <w:sz w:val="20"/>
                <w:szCs w:val="20"/>
              </w:rPr>
              <w:t xml:space="preserve">Combined spatial + relational storage; integration with external systems</w:t>
            </w:r>
          </w:p>
        </w:tc>
      </w:tr>
      <w:tr>
        <w:tc>
          <w:tcPr>
            <w:tcW w:type="dxa" w:w="1800"/>
            <w:shd w:fill="EEF1F6" w:val="clear"/>
            <w:tcMar>
              <w:top w:type="dxa" w:w="100"/>
              <w:left w:type="dxa" w:w="150"/>
              <w:bottom w:type="dxa" w:w="100"/>
              <w:right w:type="dxa" w:w="150"/>
            </w:tcMar>
          </w:tcPr>
          <w:p>
            <w:r>
              <w:rPr>
                <w:rFonts w:ascii="Calibri" w:cs="Calibri" w:eastAsia="Calibri" w:hAnsi="Calibri"/>
                <w:b/>
                <w:bCs/>
                <w:color w:val="1F3864"/>
                <w:sz w:val="20"/>
                <w:szCs w:val="20"/>
              </w:rPr>
              <w:t xml:space="preserve">Frontend / Web-GIS</w:t>
            </w:r>
          </w:p>
        </w:tc>
        <w:tc>
          <w:tcPr>
            <w:tcW w:type="dxa" w:w="3400"/>
            <w:tcMar>
              <w:top w:type="dxa" w:w="100"/>
              <w:left w:type="dxa" w:w="150"/>
              <w:bottom w:type="dxa" w:w="100"/>
              <w:right w:type="dxa" w:w="150"/>
            </w:tcMar>
          </w:tcPr>
          <w:p>
            <w:r>
              <w:rPr>
                <w:rFonts w:ascii="Calibri" w:cs="Calibri" w:eastAsia="Calibri" w:hAnsi="Calibri"/>
                <w:b w:val="false"/>
                <w:bCs w:val="false"/>
                <w:color w:val="222222"/>
                <w:sz w:val="20"/>
                <w:szCs w:val="20"/>
              </w:rPr>
              <w:t xml:space="preserve">Leaflet / Mapbox GL</w:t>
            </w:r>
          </w:p>
        </w:tc>
        <w:tc>
          <w:tcPr>
            <w:tcW w:type="dxa" w:w="3800"/>
            <w:tcMar>
              <w:top w:type="dxa" w:w="100"/>
              <w:left w:type="dxa" w:w="150"/>
              <w:bottom w:type="dxa" w:w="100"/>
              <w:right w:type="dxa" w:w="150"/>
            </w:tcMar>
          </w:tcPr>
          <w:p>
            <w:r>
              <w:rPr>
                <w:rFonts w:ascii="Calibri" w:cs="Calibri" w:eastAsia="Calibri" w:hAnsi="Calibri"/>
                <w:b w:val="false"/>
                <w:bCs w:val="false"/>
                <w:color w:val="222222"/>
                <w:sz w:val="20"/>
                <w:szCs w:val="20"/>
              </w:rPr>
              <w:t xml:space="preserve">Interactive map-based review and editing dashboard</w:t>
            </w:r>
          </w:p>
        </w:tc>
      </w:tr>
    </w:tbl>
    <w:p>
      <w:pPr>
        <w:pStyle w:val="Heading1"/>
        <w:spacing w:after="200" w:before="400"/>
      </w:pPr>
      <w:r>
        <w:rPr>
          <w:rFonts w:ascii="Calibri" w:cs="Calibri" w:eastAsia="Calibri" w:hAnsi="Calibri"/>
          <w:b/>
          <w:bCs/>
          <w:color w:val="1F3864"/>
          <w:sz w:val="30"/>
          <w:szCs w:val="30"/>
        </w:rPr>
        <w:t xml:space="preserve">6. Design Philosophy</w:t>
      </w:r>
    </w:p>
    <w:p>
      <w:pPr>
        <w:spacing w:after="200" w:line="300"/>
        <w:jc w:val="both"/>
      </w:pPr>
      <w:r>
        <w:rPr>
          <w:rFonts w:ascii="Calibri" w:cs="Calibri" w:eastAsia="Calibri" w:hAnsi="Calibri"/>
          <w:i w:val="false"/>
          <w:iCs w:val="false"/>
          <w:color w:val="222222"/>
          <w:sz w:val="22"/>
          <w:szCs w:val="22"/>
        </w:rPr>
        <w:t xml:space="preserve">Three principles run through every decision described above. First, the system is human-in-the-loop by design rather than by afterthought — because land records carry legal consequences, we never claim full autonomy, and every uncertain or conflicting parcel requires a human decision before it is finalized. Second, the system is built for real deployment rather than for demonstration purposes alone — every tool in our stack is open, mature, and already familiar to the government GIS teams who would ultimately operate it. Third, efficiency comes from targeted review rather than blanket automation — because our smart routing means a reviewer's workload scales with the number of genuinely ambiguous parcels rather than with the total size of a city, the system remains practical even as it is deployed across larger and larger areas.</w:t>
      </w:r>
    </w:p>
    <w:p>
      <w:pPr>
        <w:pStyle w:val="Heading1"/>
        <w:spacing w:after="200" w:before="400"/>
      </w:pPr>
      <w:r>
        <w:rPr>
          <w:rFonts w:ascii="Calibri" w:cs="Calibri" w:eastAsia="Calibri" w:hAnsi="Calibri"/>
          <w:b/>
          <w:bCs/>
          <w:color w:val="1F3864"/>
          <w:sz w:val="30"/>
          <w:szCs w:val="30"/>
        </w:rPr>
        <w:t xml:space="preserve">7. Conclusion</w:t>
      </w:r>
    </w:p>
    <w:p>
      <w:pPr>
        <w:spacing w:after="200" w:line="300"/>
        <w:jc w:val="both"/>
      </w:pPr>
      <w:r>
        <w:rPr>
          <w:rFonts w:ascii="Calibri" w:cs="Calibri" w:eastAsia="Calibri" w:hAnsi="Calibri"/>
          <w:i w:val="false"/>
          <w:iCs w:val="false"/>
          <w:color w:val="222222"/>
          <w:sz w:val="22"/>
          <w:szCs w:val="22"/>
        </w:rPr>
        <w:t xml:space="preserve">What we have built is not a claim that artificial intelligence can replace the judgment of a land surveyor. It is a claim that most of the work currently asked of that surveyor — tracing thousands of unambiguous boundaries by hand — does not require human judgment at all, and can be done faster and more consistently by a well-trained model. What remains for a human to decide is exactly the set of cases where judgment genuinely matters: the encroachment that needs a second opinion, the boundary the model itself is unsure about. That, in the end, is the entire premise of this project — from months of manual survey to a mostly automated pipeline, where artificial intelligence does the heavy lifting, and human beings verify only what matters.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2026-08-31T07:23:33.644Z</dcterms:created>
  <dcterms:modified xsi:type="dcterms:W3CDTF">2026-08-31T07:23:33.656Z</dcterms:modified>
</cp:coreProperties>
</file>

<file path=docProps/custom.xml><?xml version="1.0" encoding="utf-8"?>
<Properties xmlns="http://schemas.openxmlformats.org/officeDocument/2006/custom-properties" xmlns:vt="http://schemas.openxmlformats.org/officeDocument/2006/docPropsVTypes"/>
</file>