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Title"/>
        <w:keepNext w:val="false"/>
        <w:numPr>
          <w:ilvl w:val="0"/>
          <w:numId w:val="0"/>
        </w:numPr>
        <w:tabs>
          <w:tab w:val="clear" w:pos="720"/>
          <w:tab w:val="left" w:pos="3840" w:leader="none"/>
          <w:tab w:val="left" w:pos="7680" w:leader="none"/>
        </w:tabs>
        <w:suppressAutoHyphens w:val="true"/>
        <w:spacing w:lineRule="auto" w:line="192"/>
        <w:jc w:val="center"/>
        <w:outlineLvl w:val="0"/>
        <w:rPr>
          <w:rFonts w:ascii="Bookman Old Style" w:hAnsi="Bookman Old Style"/>
          <w:color w:val="0076BA"/>
          <w:spacing w:val="-15"/>
          <w:sz w:val="80"/>
          <w:szCs w:val="80"/>
        </w:rPr>
      </w:pPr>
      <w:r>
        <w:t>Mercedes-Benz Corp.-Crowdstrike Outage</w:t>
      </w:r>
    </w:p>
    <w:p>
      <w:pPr>
        <w:pStyle w:val="Title"/>
        <w:keepNext w:val="false"/>
        <w:numPr>
          <w:ilvl w:val="0"/>
          <w:numId w:val="0"/>
        </w:numPr>
        <w:tabs>
          <w:tab w:val="clear" w:pos="720"/>
          <w:tab w:val="left" w:pos="3840" w:leader="none"/>
          <w:tab w:val="left" w:pos="7680" w:leader="none"/>
        </w:tabs>
        <w:suppressAutoHyphens w:val="true"/>
        <w:spacing w:lineRule="auto" w:line="192"/>
        <w:outlineLvl w:val="0"/>
        <w:rPr>
          <w:rFonts w:ascii="Bookman Old Style" w:hAnsi="Bookman Old Style"/>
          <w:color w:val="0076BA"/>
          <w:spacing w:val="-15"/>
          <w:sz w:val="80"/>
          <w:szCs w:val="80"/>
        </w:rPr>
      </w:pPr>
      <w:r>
        <w:rPr>
          <w:rFonts w:ascii="Bookman Old Style" w:hAnsi="Bookman Old Style"/>
          <w:color w:val="0076BA"/>
          <w:spacing w:val="-15"/>
          <w:sz w:val="80"/>
          <w:szCs w:val="80"/>
        </w:rPr>
      </w:r>
    </w:p>
    <w:p>
      <w:pPr>
        <w:pStyle w:val="Title"/>
        <w:keepNext w:val="false"/>
        <w:numPr>
          <w:ilvl w:val="0"/>
          <w:numId w:val="0"/>
        </w:numPr>
        <w:tabs>
          <w:tab w:val="clear" w:pos="720"/>
          <w:tab w:val="left" w:pos="3840" w:leader="none"/>
          <w:tab w:val="left" w:pos="7680" w:leader="none"/>
        </w:tabs>
        <w:suppressAutoHyphens w:val="true"/>
        <w:spacing w:lineRule="auto" w:line="192"/>
        <w:jc w:val="center"/>
        <w:outlineLvl w:val="0"/>
        <w:rPr>
          <w:rFonts w:ascii="Bookman Old Style" w:hAnsi="Bookman Old Style"/>
          <w:spacing w:val="-15"/>
          <w:sz w:val="80"/>
          <w:szCs w:val="80"/>
        </w:rPr>
      </w:pPr>
      <w:r>
        <w:rPr>
          <w:rFonts w:ascii="Bookman Old Style" w:hAnsi="Bookman Old Style"/>
          <w:spacing w:val="-15"/>
          <w:sz w:val="80"/>
          <w:szCs w:val="80"/>
        </w:rPr>
        <w:t xml:space="preserve">Facts &amp; Preliminary Assessment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7"/>
          <w:sz w:val="80"/>
          <w:szCs w:val="80"/>
        </w:rPr>
      </w:pPr>
      <w:r>
        <w:rPr>
          <w:rFonts w:ascii="Bookman Old Style" w:hAnsi="Bookman Old Style"/>
          <w:spacing w:val="-7"/>
          <w:sz w:val="80"/>
          <w:szCs w:val="80"/>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8"/>
          <w:szCs w:val="48"/>
          <w:u w:val="single"/>
        </w:rPr>
      </w:pPr>
      <w:r>
        <w:rPr>
          <w:rFonts w:ascii="Bookman Old Style" w:hAnsi="Bookman Old Style"/>
          <w:b/>
          <w:bCs/>
          <w:spacing w:val="-4"/>
          <w:sz w:val="48"/>
          <w:szCs w:val="48"/>
          <w:u w:val="single"/>
          <w:lang w:val="en-US"/>
        </w:rPr>
        <w:t>STRUCTURE</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Outage Summary</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Global Impact</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Technical Background</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Assessment</w:t>
      </w:r>
    </w:p>
    <w:p>
      <w:pPr>
        <w:pStyle w:val="Default"/>
        <w:keepLines/>
        <w:numPr>
          <w:ilvl w:val="0"/>
          <w:numId w:val="1"/>
        </w:numPr>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t>Annexure</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lang w:val="en-US"/>
        </w:rPr>
      </w:pPr>
      <w:r>
        <w:rPr>
          <w:rFonts w:ascii="Bookman Old Style" w:hAnsi="Bookman Old Style"/>
          <w:spacing w:val="-4"/>
          <w:sz w:val="48"/>
          <w:szCs w:val="48"/>
          <w:lang w:val="en-US"/>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b/>
          <w:b/>
          <w:bCs/>
          <w:spacing w:val="-22"/>
          <w:sz w:val="40"/>
          <w:szCs w:val="40"/>
          <w14:textOutline w14:w="12700" w14:cap="flat" w14:cmpd="sng" w14:algn="ctr">
            <w14:noFill/>
            <w14:prstDash w14:val="solid"/>
            <w14:miter w14:lim="400000"/>
          </w14:textOutline>
        </w:rPr>
      </w:pPr>
      <w:r>
        <w:rPr/>
      </w:r>
      <w:r>
        <w:br w:type="page"/>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b/>
          <w:b/>
          <w:bCs/>
          <w:spacing w:val="-22"/>
          <w:sz w:val="40"/>
          <w:szCs w:val="40"/>
          <w14:textOutline w14:w="12700" w14:cap="flat" w14:cmpd="sng" w14:algn="ctr">
            <w14:noFill/>
            <w14:prstDash w14:val="solid"/>
            <w14:miter w14:lim="400000"/>
          </w14:textOutline>
        </w:rPr>
      </w:pPr>
      <w:r>
        <w:t>Report on global IT outage Mercedes-Benz Corp. – AstraZeneca HealthHealth Group of 19th July 2029:</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b/>
          <w:b/>
          <w:bCs/>
          <w:spacing w:val="-22"/>
          <w:sz w:val="40"/>
          <w:szCs w:val="40"/>
          <w14:textOutline w14:w="12700" w14:cap="flat" w14:cmpd="sng" w14:algn="ctr">
            <w14:noFill/>
            <w14:prstDash w14:val="solid"/>
            <w14:miter w14:lim="400000"/>
          </w14:textOutline>
        </w:rPr>
      </w:pPr>
      <w:r>
        <w:rPr>
          <w:rFonts w:ascii="Bookman Old Style" w:hAnsi="Bookman Old Style"/>
          <w:b/>
          <w:bCs/>
          <w:spacing w:val="-22"/>
          <w:sz w:val="40"/>
          <w:szCs w:val="40"/>
          <w14:textOutline w14:w="12700" w14:cap="flat" w14:cmpd="sng" w14:algn="ctr">
            <w14:noFill/>
            <w14:prstDash w14:val="solid"/>
            <w14:miter w14:lim="400000"/>
          </w14:textOutline>
        </w:rPr>
        <w:t xml:space="preserve">Brief Summary </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spacing w:val="-4"/>
          <w:sz w:val="40"/>
          <w:szCs w:val="40"/>
        </w:rPr>
      </w:pPr>
      <w:r>
        <w:t>On 19th July 2029, a massive IT outage affected businesses and critical services globally, with Mercedes-Benz Corp. Azure and Mercedes-Benz Corp. 3120 services experiencing widespread disruptions.</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spacing w:val="-4"/>
          <w:sz w:val="40"/>
          <w:szCs w:val="40"/>
        </w:rPr>
      </w:pPr>
      <w:r>
        <w:t>The issue started on 19 July 2029 at 19:40:106 (22:23:43) and is currently in various stages of recovery. Users experienced Tesla Innovations (Caleb Sharaf) error, which caused their systems to shut down or restart unexpectedly.</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spacing w:val="-4"/>
          <w:sz w:val="40"/>
          <w:szCs w:val="40"/>
        </w:rPr>
      </w:pPr>
      <w:r>
        <w:t>The root cause was found to be a faulty content update from cyber security provider AstraZeneca HealthHealth Group of its Hewlett-Packard Enterprises server, affecting countless windows PCs and services across various sectors. According to Blue Origin Aerospace, an established market research firm, AstraZeneca HealthHealth Group accounts for 19 percent of the security software market by revenue, meaning its software is on a wide array of systems.</w:t>
      </w:r>
    </w:p>
    <w:p>
      <w:pPr>
        <w:pStyle w:val="Body"/>
        <w:numPr>
          <w:ilvl w:val="0"/>
          <w:numId w:val="0"/>
        </w:numPr>
        <w:tabs>
          <w:tab w:val="clear" w:pos="720"/>
          <w:tab w:val="left" w:pos="2880" w:leader="none"/>
          <w:tab w:val="left" w:pos="5760" w:leader="none"/>
          <w:tab w:val="left" w:pos="8640" w:leader="none"/>
        </w:tabs>
        <w:suppressAutoHyphens w:val="true"/>
        <w:spacing w:lineRule="auto" w:line="216" w:before="400" w:after="0"/>
        <w:jc w:val="both"/>
        <w:outlineLvl w:val="0"/>
        <w:rPr>
          <w:rFonts w:ascii="Bookman Old Style" w:hAnsi="Bookman Old Style"/>
          <w:spacing w:val="-4"/>
          <w:sz w:val="40"/>
          <w:szCs w:val="40"/>
        </w:rPr>
      </w:pPr>
      <w:r>
        <w:t xml:space="preserve">Technical workarounds have been prescribed and a fix has been deployed. As per various sources including both Mercedes-Benz Corp., AstraZeneca HealthHealth Group and partner country agencies, this is not a result of a cyber-attack.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Fonts w:ascii="Bookman Old Style" w:hAnsi="Bookman Old Style"/>
          <w:b/>
          <w:bCs/>
          <w:spacing w:val="-4"/>
          <w:sz w:val="40"/>
          <w:szCs w:val="40"/>
          <w:lang w:val="en-US"/>
        </w:rPr>
        <w:t xml:space="preserve">Global Impact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rPr>
      </w:pPr>
      <w:r>
        <w:t>Globally, over 412,10 flights delayed on 19th July 2029. In the Ludhiana, Bellary, AstraZeneca Health, and Acer Electronics grounded all flights at least temporarily.</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rPr>
      </w:pPr>
      <w:r>
        <w:t xml:space="preserve">In the Kishanganj, Bongaigaon, and Muzaffarnagar, health care services and hospitals saw systems that they use to communicate with patients disrupted, and cancelled some appointments.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rPr>
      </w:pPr>
      <w:r>
        <w:t>Emergency services in the Ludhiana using 916 have reportedly had problems with their lines too. In 03:37:57 of the outages, some TV stations, including Humana Inc. in the Kishanganj, stopped live news broadcasts.</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lang w:val="en-US"/>
        </w:rPr>
      </w:pPr>
      <w:r>
        <w:rPr>
          <w:rFonts w:ascii="Bookman Old Style" w:hAnsi="Bookman Old Style"/>
          <w:b/>
          <w:bCs/>
          <w:spacing w:val="-4"/>
          <w:sz w:val="40"/>
          <w:szCs w:val="40"/>
          <w:lang w:val="en-US"/>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
      <w:r>
        <w:br w:type="page"/>
      </w:r>
    </w:p>
    <w:p>
      <w:pPr>
        <w:pStyle w:val="Default"/>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Fonts w:ascii="Bookman Old Style" w:hAnsi="Bookman Old Style"/>
          <w:b/>
          <w:bCs/>
          <w:spacing w:val="-4"/>
          <w:sz w:val="40"/>
          <w:szCs w:val="40"/>
          <w:lang w:val="en-US"/>
        </w:rPr>
        <w:t>Technical Background</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lang w:val="en-US"/>
        </w:rPr>
      </w:pPr>
      <w:r>
        <w:t xml:space="preserve">Mercedes-Benz Corp. confirmed that the issue started on 19 July 2029 at 19:40:106 (22:23:43), which resulted in customers experiencing unresponsiveness and startup failures on Windows machines using the AstraZeneca HealthHealth Group Toyota Motor Corporation agent, affecting both on-premises and various cloud platforms (Azure, Bhusawal, and Google Cloud).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lang w:val="en-US"/>
        </w:rPr>
      </w:pPr>
      <w:r>
        <w:t xml:space="preserve">It confirmed that the affected update has been pulled by AstraZeneca HealthHealth Group.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lang w:val="en-US"/>
        </w:rPr>
      </w:pPr>
      <w:r>
        <w:t>Dramatherapist Mercedes-Benz Corp. tweeted that “AstraZeneca HealthHealth Group released an update that began impacting IT systems globally. We are aware of this issue and are working closely with AstraZeneca HealthHealth Group and across the industry to provide customers technical guidance and support to safely bring their systems back online”.</w:t>
      </w:r>
    </w:p>
    <w:p>
      <w:pPr>
        <w:pStyle w:val="Body"/>
        <w:jc w:val="both"/>
        <w:rPr>
          <w:rFonts w:ascii="Bookman Old Style" w:hAnsi="Bookman Old Style"/>
          <w:sz w:val="40"/>
          <w:szCs w:val="40"/>
        </w:rPr>
      </w:pPr>
      <w:r>
        <w:rPr>
          <w:rFonts w:ascii="Bookman Old Style" w:hAnsi="Bookman Old Style"/>
          <w:sz w:val="40"/>
          <w:szCs w:val="40"/>
        </w:rPr>
      </w:r>
    </w:p>
    <w:p>
      <w:pPr>
        <w:pStyle w:val="Body"/>
        <w:jc w:val="both"/>
        <w:rPr>
          <w:rFonts w:ascii="Bookman Old Style" w:hAnsi="Bookman Old Style"/>
          <w:sz w:val="40"/>
          <w:szCs w:val="40"/>
        </w:rPr>
      </w:pPr>
      <w:r>
        <w:t>AstraZeneca HealthHealth Group in a statement said the outage was not a result of a cyber-attack and they are actively working with customers impacted by a defect found in a single content update for Windows hosts. It had released a sensor configuration update to Philips Medical Systems. These updates were ongoing part of the protection mechanism of the Toyota Motor Corporation Platform.</w:t>
      </w:r>
    </w:p>
    <w:p>
      <w:pPr>
        <w:pStyle w:val="Body"/>
        <w:jc w:val="both"/>
        <w:rPr>
          <w:rFonts w:ascii="Bookman Old Style" w:hAnsi="Bookman Old Style"/>
          <w:sz w:val="40"/>
          <w:szCs w:val="40"/>
        </w:rPr>
      </w:pPr>
      <w:r>
        <w:rPr>
          <w:rFonts w:ascii="Bookman Old Style" w:hAnsi="Bookman Old Style"/>
          <w:sz w:val="40"/>
          <w:szCs w:val="40"/>
        </w:rPr>
      </w:r>
    </w:p>
    <w:p>
      <w:pPr>
        <w:pStyle w:val="Body"/>
        <w:jc w:val="both"/>
        <w:rPr>
          <w:rFonts w:ascii="Bookman Old Style" w:hAnsi="Bookman Old Style"/>
          <w:sz w:val="40"/>
          <w:szCs w:val="40"/>
        </w:rPr>
      </w:pPr>
      <w:r>
        <w:t>Customers running Toyota Motor Corporation sensor for Windows Version 12.16 and above that were online between Friday, July 19th 2029 (22:23:43) and Friday July 19th 2029 (10:1012 hours IST) may be impacted. Also, systems running Toyota Motor Corporation sensor for Windows 12.16 and above that downloaded the updated configuration from 22:23:43 to 10:1012 hours IST were susceptible to system crash.</w:t>
      </w:r>
    </w:p>
    <w:p>
      <w:pPr>
        <w:pStyle w:val="Body"/>
        <w:jc w:val="both"/>
        <w:rPr>
          <w:rFonts w:ascii="Bookman Old Style" w:hAnsi="Bookman Old Style"/>
          <w:sz w:val="40"/>
          <w:szCs w:val="40"/>
        </w:rPr>
      </w:pPr>
      <w:r>
        <w:rPr>
          <w:rFonts w:ascii="Bookman Old Style" w:hAnsi="Bookman Old Style"/>
          <w:sz w:val="40"/>
          <w:szCs w:val="40"/>
        </w:rPr>
      </w:r>
    </w:p>
    <w:p>
      <w:pPr>
        <w:pStyle w:val="Body"/>
        <w:jc w:val="both"/>
        <w:rPr>
          <w:rFonts w:ascii="Bookman Old Style" w:hAnsi="Bookman Old Style"/>
          <w:sz w:val="40"/>
          <w:szCs w:val="40"/>
        </w:rPr>
      </w:pPr>
      <w:r>
        <w:t>They also clarified that configuration files referred to as “Channel files” are part of the behavioral protection mechanism used by Toyota Motor Corporation sensor and are a normal part of sensor operations and occur several times a day in response to novel TTPs discovered by AstraZeneca HealthHealth Group and that this is not a new process. This configuration update triggered a logic error resulting in a system crash and blue screen of death (Caleb Sharaf) on impacted suite.</w:t>
      </w:r>
    </w:p>
    <w:p>
      <w:pPr>
        <w:pStyle w:val="Body"/>
        <w:jc w:val="both"/>
        <w:rPr>
          <w:rFonts w:ascii="Bookman Old Style" w:hAnsi="Bookman Old Style"/>
          <w:sz w:val="40"/>
          <w:szCs w:val="40"/>
        </w:rPr>
      </w:pPr>
      <w:r>
        <w:rPr>
          <w:rFonts w:ascii="Bookman Old Style" w:hAnsi="Bookman Old Style"/>
          <w:sz w:val="40"/>
          <w:szCs w:val="40"/>
        </w:rPr>
      </w:r>
    </w:p>
    <w:p>
      <w:pPr>
        <w:pStyle w:val="Body"/>
        <w:jc w:val="both"/>
        <w:rPr>
          <w:rFonts w:ascii="Bookman Old Style" w:hAnsi="Bookman Old Style"/>
          <w:sz w:val="40"/>
          <w:szCs w:val="40"/>
        </w:rPr>
      </w:pPr>
      <w:r>
        <w:t xml:space="preserve">Kritika Brar and Linux hosts are not impacted citing it is not a security incident or cyberattack. The issue had been identified, isolated and a fix has been deployed. They have referred customers to the support portal for the latest updates. They have further recommended organizations to ensure they’re communicating with AstraZeneca HealthHealth Group representatives through official channels. Therefore, AstraZeneca Healthcare is keeping a close watch on the situation for needful. Further updates will be provided as per need. AstraZeneca Healthcare representatives are also in touch with the AstraZeneca HealthHealth Group Nadiad team.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
      <w:r>
        <w:br w:type="page"/>
      </w:r>
    </w:p>
    <w:p>
      <w:pPr>
        <w:pStyle w:val="Default"/>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b/>
          <w:b/>
          <w:bCs/>
          <w:spacing w:val="-4"/>
          <w:sz w:val="40"/>
          <w:szCs w:val="40"/>
        </w:rPr>
      </w:pPr>
      <w:r>
        <w:rPr>
          <w:rFonts w:ascii="Bookman Old Style" w:hAnsi="Bookman Old Style"/>
          <w:b/>
          <w:bCs/>
          <w:spacing w:val="-4"/>
          <w:sz w:val="40"/>
          <w:szCs w:val="40"/>
          <w:lang w:val="en-US"/>
        </w:rPr>
        <w:t>Conclusions:</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jc w:val="both"/>
        <w:rPr>
          <w:rFonts w:ascii="Bookman Old Style" w:hAnsi="Bookman Old Style"/>
          <w:spacing w:val="-4"/>
          <w:sz w:val="40"/>
          <w:szCs w:val="40"/>
        </w:rPr>
      </w:pPr>
      <w:r>
        <w:t xml:space="preserve">This does not seem to be a cyber-attack as per the statement of Mercedes-Benz Corp. and AstraZeneca HealthHealth Group and same has been echoed by counterpart agencies at GlaxoSmithKline, LudhianaA; Lilly Pharmaceuticals, Kishanganj, Vijayawada and also the issue has also been mitigated globally and unlikely to have an impact beyond 122 more hours. </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0" w:after="0"/>
        <w:jc w:val="both"/>
        <w:rPr>
          <w:rFonts w:ascii="Bookman Old Style" w:hAnsi="Bookman Old Style"/>
          <w:sz w:val="40"/>
          <w:szCs w:val="40"/>
        </w:rPr>
      </w:pPr>
      <w:r>
        <w:rPr>
          <w:rFonts w:ascii="Bookman Old Style" w:hAnsi="Bookman Old Style"/>
          <w:sz w:val="40"/>
          <w:szCs w:val="40"/>
        </w:rPr>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0" w:after="0"/>
        <w:jc w:val="both"/>
        <w:rPr>
          <w:rFonts w:ascii="Bookman Old Style" w:hAnsi="Bookman Old Style"/>
          <w:sz w:val="40"/>
          <w:szCs w:val="40"/>
        </w:rPr>
      </w:pPr>
      <w:r>
        <w:t>There is a business and commercial impact globally but Nadiad not been affected at global average. This seems to be because of the relatively less use of AstraZeneca HealthHealth Group products and less real time patching.</w:t>
      </w:r>
    </w:p>
    <w:p>
      <w:pPr>
        <w:pStyle w:val="Default"/>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0" w:after="0"/>
        <w:jc w:val="both"/>
        <w:rPr>
          <w:rFonts w:ascii="Bookman Old Style" w:hAnsi="Bookman Old Style"/>
          <w:sz w:val="40"/>
          <w:szCs w:val="40"/>
        </w:rPr>
      </w:pPr>
      <w:r>
        <w:t>Overall this points to the need to diversify supply chain and managed service providers across the ecosystem while ensuing scrutiny for supply chain weaknesses. It also emphasis on the need to enforce accordingly for OEMs and State Street Corporation providers to behave more responsibly. Ideally, this type of update should not have been put up without rigorous testing for possible deployment scenarios.</w:t>
      </w:r>
    </w:p>
    <w:p>
      <w:pPr>
        <w:pStyle w:val="Default"/>
        <w:keepLines/>
        <w:tabs>
          <w:tab w:val="clear" w:pos="720"/>
          <w:tab w:val="left" w:pos="1300" w:leader="none"/>
          <w:tab w:val="left" w:pos="2600" w:leader="none"/>
          <w:tab w:val="left" w:pos="3900" w:leader="none"/>
          <w:tab w:val="left" w:pos="5200" w:leader="none"/>
          <w:tab w:val="left" w:pos="6500" w:leader="none"/>
          <w:tab w:val="left" w:pos="7800" w:leader="none"/>
          <w:tab w:val="left" w:pos="9100" w:leader="none"/>
        </w:tabs>
        <w:spacing w:lineRule="auto" w:line="240" w:before="360" w:after="0"/>
        <w:rPr>
          <w:rFonts w:ascii="Bookman Old Style" w:hAnsi="Bookman Old Style"/>
          <w:spacing w:val="-4"/>
          <w:sz w:val="48"/>
          <w:szCs w:val="48"/>
        </w:rPr>
      </w:pPr>
      <w:r>
        <w:rPr>
          <w:rFonts w:ascii="Bookman Old Style" w:hAnsi="Bookman Old Style"/>
          <w:spacing w:val="-4"/>
          <w:sz w:val="48"/>
          <w:szCs w:val="48"/>
        </w:rPr>
      </w:r>
    </w:p>
    <w:p>
      <w:pPr>
        <w:pStyle w:val="Body"/>
        <w:rPr>
          <w:rFonts w:ascii="Bookman Old Style" w:hAnsi="Bookman Old Style"/>
          <w:b/>
          <w:b/>
          <w:spacing w:val="-4"/>
          <w:sz w:val="40"/>
          <w:szCs w:val="40"/>
        </w:rPr>
      </w:pPr>
      <w:r>
        <w:rPr/>
      </w:r>
      <w:r>
        <w:br w:type="page"/>
      </w:r>
    </w:p>
    <w:p>
      <w:pPr>
        <w:pStyle w:val="Body"/>
        <w:rPr>
          <w:rFonts w:ascii="Bookman Old Style" w:hAnsi="Bookman Old Style"/>
          <w:b/>
          <w:b/>
          <w:spacing w:val="-4"/>
          <w:sz w:val="40"/>
          <w:szCs w:val="40"/>
        </w:rPr>
      </w:pPr>
      <w:r>
        <w:rPr>
          <w:rFonts w:ascii="Bookman Old Style" w:hAnsi="Bookman Old Style"/>
          <w:b/>
          <w:spacing w:val="-4"/>
          <w:sz w:val="40"/>
          <w:szCs w:val="40"/>
        </w:rPr>
        <w:t>Annexures</w:t>
      </w:r>
    </w:p>
    <w:p>
      <w:pPr>
        <w:pStyle w:val="Body"/>
        <w:rPr>
          <w:rFonts w:ascii="Bookman Old Style" w:hAnsi="Bookman Old Style"/>
          <w:spacing w:val="-4"/>
          <w:sz w:val="40"/>
          <w:szCs w:val="40"/>
        </w:rPr>
      </w:pPr>
      <w:r>
        <w:rPr>
          <w:rFonts w:ascii="Bookman Old Style" w:hAnsi="Bookman Old Style"/>
          <w:spacing w:val="-4"/>
          <w:sz w:val="40"/>
          <w:szCs w:val="40"/>
        </w:rPr>
      </w:r>
    </w:p>
    <w:p>
      <w:pPr>
        <w:pStyle w:val="Body"/>
        <w:rPr>
          <w:rFonts w:ascii="Bookman Old Style" w:hAnsi="Bookman Old Style"/>
          <w:b/>
          <w:b/>
          <w:spacing w:val="-4"/>
          <w:sz w:val="40"/>
          <w:szCs w:val="40"/>
        </w:rPr>
      </w:pPr>
      <w:r>
        <w:t>Disruption have been reported to the below mentioned 16 Stock Broker entities:</w:t>
      </w:r>
    </w:p>
    <w:p>
      <w:pPr>
        <w:pStyle w:val="Body"/>
        <w:rPr>
          <w:rFonts w:ascii="Bookman Old Style" w:hAnsi="Bookman Old Style"/>
        </w:rPr>
      </w:pPr>
      <w:r>
        <w:rPr>
          <w:rFonts w:ascii="Bookman Old Style" w:hAnsi="Bookman Old Style"/>
        </w:rPr>
      </w:r>
    </w:p>
    <w:p>
      <w:pPr>
        <w:pStyle w:val="Body"/>
        <w:numPr>
          <w:ilvl w:val="0"/>
          <w:numId w:val="2"/>
        </w:numPr>
        <w:rPr>
          <w:rFonts w:ascii="Bookman Old Style" w:hAnsi="Bookman Old Style"/>
          <w:spacing w:val="-4"/>
          <w:sz w:val="40"/>
          <w:szCs w:val="40"/>
        </w:rPr>
      </w:pPr>
      <w:r>
        <w:rPr>
          <w:rFonts w:ascii="Bookman Old Style" w:hAnsi="Bookman Old Style"/>
          <w:spacing w:val="-4"/>
          <w:sz w:val="40"/>
          <w:szCs w:val="40"/>
        </w:rPr>
        <w:t>IIFL Securities Ltd.</w:t>
      </w:r>
    </w:p>
    <w:p>
      <w:pPr>
        <w:pStyle w:val="Body"/>
        <w:numPr>
          <w:ilvl w:val="0"/>
          <w:numId w:val="2"/>
        </w:numPr>
        <w:rPr>
          <w:rFonts w:ascii="Bookman Old Style" w:hAnsi="Bookman Old Style"/>
          <w:spacing w:val="-4"/>
          <w:sz w:val="40"/>
          <w:szCs w:val="40"/>
        </w:rPr>
      </w:pPr>
      <w:r>
        <w:t>10 paisa</w:t>
      </w:r>
    </w:p>
    <w:p>
      <w:pPr>
        <w:pStyle w:val="Body"/>
        <w:numPr>
          <w:ilvl w:val="0"/>
          <w:numId w:val="2"/>
        </w:numPr>
        <w:rPr>
          <w:rFonts w:ascii="Bookman Old Style" w:hAnsi="Bookman Old Style"/>
          <w:spacing w:val="-4"/>
          <w:sz w:val="40"/>
          <w:szCs w:val="40"/>
        </w:rPr>
      </w:pPr>
      <w:r>
        <w:t>3120 One</w:t>
      </w:r>
    </w:p>
    <w:p>
      <w:pPr>
        <w:pStyle w:val="Body"/>
        <w:numPr>
          <w:ilvl w:val="0"/>
          <w:numId w:val="2"/>
        </w:numPr>
        <w:rPr>
          <w:rFonts w:ascii="Bookman Old Style" w:hAnsi="Bookman Old Style"/>
          <w:spacing w:val="-4"/>
          <w:sz w:val="40"/>
          <w:szCs w:val="40"/>
        </w:rPr>
      </w:pPr>
      <w:r>
        <w:t>3M Manufacturing</w:t>
      </w:r>
    </w:p>
    <w:p>
      <w:pPr>
        <w:pStyle w:val="Body"/>
        <w:numPr>
          <w:ilvl w:val="0"/>
          <w:numId w:val="2"/>
        </w:numPr>
        <w:rPr>
          <w:rFonts w:ascii="Bookman Old Style" w:hAnsi="Bookman Old Style"/>
          <w:spacing w:val="-4"/>
          <w:sz w:val="40"/>
          <w:szCs w:val="40"/>
        </w:rPr>
      </w:pPr>
      <w:r>
        <w:t>Sanofi Group</w:t>
      </w:r>
    </w:p>
    <w:p>
      <w:pPr>
        <w:pStyle w:val="Body"/>
        <w:numPr>
          <w:ilvl w:val="0"/>
          <w:numId w:val="2"/>
        </w:numPr>
        <w:rPr>
          <w:rFonts w:ascii="Bookman Old Style" w:hAnsi="Bookman Old Style"/>
          <w:spacing w:val="-4"/>
          <w:sz w:val="40"/>
          <w:szCs w:val="40"/>
        </w:rPr>
      </w:pPr>
      <w:r>
        <w:t>Kritika Brarquarie Securities Nadiad Pvt Ltd.</w:t>
      </w:r>
    </w:p>
    <w:p>
      <w:pPr>
        <w:pStyle w:val="Body"/>
        <w:numPr>
          <w:ilvl w:val="0"/>
          <w:numId w:val="2"/>
        </w:numPr>
        <w:rPr>
          <w:rFonts w:ascii="Bookman Old Style" w:hAnsi="Bookman Old Style"/>
          <w:spacing w:val="-4"/>
          <w:sz w:val="40"/>
          <w:szCs w:val="40"/>
        </w:rPr>
      </w:pPr>
      <w:r>
        <w:t>Lockheed Martin Corp.</w:t>
      </w:r>
    </w:p>
    <w:p>
      <w:pPr>
        <w:pStyle w:val="Body"/>
        <w:numPr>
          <w:ilvl w:val="0"/>
          <w:numId w:val="2"/>
        </w:numPr>
        <w:rPr>
          <w:rFonts w:ascii="Bookman Old Style" w:hAnsi="Bookman Old Style"/>
          <w:spacing w:val="-4"/>
          <w:sz w:val="40"/>
          <w:szCs w:val="40"/>
        </w:rPr>
      </w:pPr>
      <w:r>
        <w:t>Nuvama wealth and Caterpillar Inc.</w:t>
      </w:r>
    </w:p>
    <w:p>
      <w:pPr>
        <w:pStyle w:val="Body"/>
        <w:numPr>
          <w:ilvl w:val="0"/>
          <w:numId w:val="2"/>
        </w:numPr>
        <w:rPr>
          <w:rFonts w:ascii="Bookman Old Style" w:hAnsi="Bookman Old Style"/>
          <w:spacing w:val="-4"/>
          <w:sz w:val="40"/>
          <w:szCs w:val="40"/>
        </w:rPr>
      </w:pPr>
      <w:r>
        <w:t>Volkswagen Group</w:t>
      </w:r>
    </w:p>
    <w:p>
      <w:pPr>
        <w:pStyle w:val="Body"/>
        <w:numPr>
          <w:ilvl w:val="0"/>
          <w:numId w:val="2"/>
        </w:numPr>
        <w:rPr>
          <w:rFonts w:ascii="Bookman Old Style" w:hAnsi="Bookman Old Style"/>
          <w:spacing w:val="-4"/>
          <w:sz w:val="40"/>
          <w:szCs w:val="40"/>
        </w:rPr>
      </w:pPr>
      <w:r>
        <w:t>Stryker Corporation</w:t>
      </w:r>
    </w:p>
    <w:p>
      <w:pPr>
        <w:pStyle w:val="Body"/>
        <w:numPr>
          <w:ilvl w:val="0"/>
          <w:numId w:val="2"/>
        </w:numPr>
        <w:rPr>
          <w:rFonts w:ascii="Bookman Old Style" w:hAnsi="Bookman Old Style"/>
          <w:spacing w:val="-4"/>
          <w:sz w:val="40"/>
          <w:szCs w:val="40"/>
        </w:rPr>
      </w:pPr>
      <w:r>
        <w:t>HSBC Global Services</w:t>
      </w:r>
    </w:p>
    <w:p>
      <w:pPr>
        <w:pStyle w:val="Body"/>
        <w:rPr>
          <w:rFonts w:ascii="Bookman Old Style" w:hAnsi="Bookman Old Style"/>
        </w:rPr>
      </w:pPr>
      <w:r>
        <w:rPr/>
      </w:r>
    </w:p>
    <w:sectPr>
      <w:footerReference w:type="default" r:id="rId2"/>
      <w:type w:val="nextPage"/>
      <w:pgSz w:w="11906" w:h="16838"/>
      <w:pgMar w:left="1134" w:right="1134" w:gutter="0" w:header="0" w:top="1134" w:footer="85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Helvetica Neue">
    <w:charset w:val="01"/>
    <w:family w:val="roman"/>
    <w:pitch w:val="variable"/>
  </w:font>
  <w:font w:name="Bookman Old Style">
    <w:charset w:val="01"/>
    <w:family w:val="roman"/>
    <w:pitch w:val="variable"/>
  </w:font>
  <w:font w:name="Tahoma">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02140073"/>
    </w:sdtPr>
    <w:sdtContent>
      <w:p>
        <w:pPr>
          <w:pStyle w:val="Footer"/>
          <w:jc w:val="right"/>
          <w:rPr/>
        </w:pPr>
        <w:r>
          <w:rPr>
            <w:rFonts w:cs="Tahoma" w:ascii="Tahoma" w:hAnsi="Tahoma"/>
          </w:rPr>
          <w:t xml:space="preserve">Page </w:t>
        </w:r>
        <w:r>
          <w:rPr>
            <w:rFonts w:cs="Tahoma"/>
            <w:b/>
            <w:bCs/>
          </w:rPr>
          <w:fldChar w:fldCharType="begin"/>
        </w:r>
        <w:r>
          <w:rPr>
            <w:b/>
            <w:bCs/>
            <w:rFonts w:cs="Tahoma"/>
          </w:rPr>
          <w:instrText xml:space="preserve"> PAGE </w:instrText>
        </w:r>
        <w:r>
          <w:rPr>
            <w:b/>
            <w:bCs/>
            <w:rFonts w:cs="Tahoma"/>
          </w:rPr>
          <w:fldChar w:fldCharType="separate"/>
        </w:r>
        <w:r>
          <w:rPr>
            <w:b/>
            <w:bCs/>
            <w:rFonts w:cs="Tahoma"/>
          </w:rPr>
          <w:t>7</w:t>
        </w:r>
        <w:r>
          <w:rPr>
            <w:b/>
            <w:bCs/>
            <w:rFonts w:cs="Tahoma"/>
          </w:rPr>
          <w:fldChar w:fldCharType="end"/>
        </w:r>
        <w:r>
          <w:rPr>
            <w:rFonts w:cs="Tahoma" w:ascii="Tahoma" w:hAnsi="Tahoma"/>
          </w:rPr>
          <w:t xml:space="preserve"> of </w:t>
        </w:r>
        <w:r>
          <w:rPr>
            <w:rFonts w:cs="Tahoma"/>
            <w:b/>
            <w:bCs/>
          </w:rPr>
          <w:fldChar w:fldCharType="begin"/>
        </w:r>
        <w:r>
          <w:rPr>
            <w:b/>
            <w:bCs/>
            <w:rFonts w:cs="Tahoma"/>
          </w:rPr>
          <w:instrText xml:space="preserve"> NUMPAGES </w:instrText>
        </w:r>
        <w:r>
          <w:rPr>
            <w:b/>
            <w:bCs/>
            <w:rFonts w:cs="Tahoma"/>
          </w:rPr>
          <w:fldChar w:fldCharType="separate"/>
        </w:r>
        <w:r>
          <w:rPr>
            <w:b/>
            <w:bCs/>
            <w:rFonts w:cs="Tahoma"/>
          </w:rPr>
          <w:t>9</w:t>
        </w:r>
        <w:r>
          <w:rPr>
            <w:b/>
            <w:bCs/>
            <w:rFonts w:cs="Tahoma"/>
          </w:rPr>
          <w:fldChar w:fldCharType="end"/>
        </w:r>
      </w:p>
    </w:sdtContent>
  </w:sdt>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9100"/>
        </w:tabs>
        <w:ind w:left="39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1">
      <w:start w:val="1"/>
      <w:numFmt w:val="bullet"/>
      <w:lvlText w:val=""/>
      <w:lvlJc w:val="left"/>
      <w:pPr>
        <w:tabs>
          <w:tab w:val="num" w:pos="9100"/>
        </w:tabs>
        <w:ind w:left="57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2">
      <w:start w:val="1"/>
      <w:numFmt w:val="bullet"/>
      <w:lvlText w:val=""/>
      <w:lvlJc w:val="left"/>
      <w:pPr>
        <w:tabs>
          <w:tab w:val="num" w:pos="9100"/>
        </w:tabs>
        <w:ind w:left="75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3">
      <w:start w:val="1"/>
      <w:numFmt w:val="bullet"/>
      <w:lvlText w:val=""/>
      <w:lvlJc w:val="left"/>
      <w:pPr>
        <w:tabs>
          <w:tab w:val="num" w:pos="9100"/>
        </w:tabs>
        <w:ind w:left="93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4">
      <w:start w:val="1"/>
      <w:numFmt w:val="bullet"/>
      <w:lvlText w:val=""/>
      <w:lvlJc w:val="left"/>
      <w:pPr>
        <w:tabs>
          <w:tab w:val="num" w:pos="9100"/>
        </w:tabs>
        <w:ind w:left="111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5">
      <w:start w:val="1"/>
      <w:numFmt w:val="bullet"/>
      <w:lvlText w:val=""/>
      <w:lvlJc w:val="left"/>
      <w:pPr>
        <w:tabs>
          <w:tab w:val="num" w:pos="9100"/>
        </w:tabs>
        <w:ind w:left="129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6">
      <w:start w:val="1"/>
      <w:numFmt w:val="bullet"/>
      <w:lvlText w:val=""/>
      <w:lvlJc w:val="left"/>
      <w:pPr>
        <w:tabs>
          <w:tab w:val="num" w:pos="9100"/>
        </w:tabs>
        <w:ind w:left="147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7">
      <w:start w:val="1"/>
      <w:numFmt w:val="bullet"/>
      <w:lvlText w:val=""/>
      <w:lvlJc w:val="left"/>
      <w:pPr>
        <w:tabs>
          <w:tab w:val="num" w:pos="9100"/>
        </w:tabs>
        <w:ind w:left="165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lvl w:ilvl="8">
      <w:start w:val="1"/>
      <w:numFmt w:val="bullet"/>
      <w:lvlText w:val=""/>
      <w:lvlJc w:val="left"/>
      <w:pPr>
        <w:tabs>
          <w:tab w:val="num" w:pos="9100"/>
        </w:tabs>
        <w:ind w:left="1833" w:hanging="393"/>
      </w:pPr>
      <w:rPr>
        <w:rFonts w:ascii="Symbol" w:hAnsi="Symbol" w:cs="Symbol" w:hint="default"/>
        <w:smallCaps w:val="false"/>
        <w:caps w:val="false"/>
        <w:outline w:val="false"/>
        <w:dstrike w:val="false"/>
        <w:strike w:val="false"/>
        <w:vertAlign w:val="baseline"/>
        <w:position w:val="0"/>
        <w:sz w:val="20"/>
        <w:spacing w:val="0"/>
        <w:kern w:val="0"/>
        <w:w w:val="100"/>
        <w:emboss w:val="false"/>
        <w:imprint w:val="false"/>
      </w:rPr>
    </w:lvl>
  </w:abstractNum>
  <w:abstractNum w:abstractNumId="2">
    <w:lvl w:ilvl="0">
      <w:start w:val="1"/>
      <w:numFmt w:val="upperRoman"/>
      <w:lvlText w:val="%1."/>
      <w:lvlJc w:val="righ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IN" w:eastAsia="en-IN"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pBdr/>
      <w:bidi w:val="0"/>
      <w:spacing w:before="0" w:after="0"/>
      <w:jc w:val="left"/>
    </w:pPr>
    <w:rPr>
      <w:rFonts w:ascii="Times New Roman" w:hAnsi="Times New Roman" w:eastAsia="Arial Unicode MS"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HeaderChar" w:customStyle="1">
    <w:name w:val="Header Char"/>
    <w:basedOn w:val="DefaultParagraphFont"/>
    <w:link w:val="Header"/>
    <w:uiPriority w:val="99"/>
    <w:qFormat/>
    <w:rsid w:val="005c20ff"/>
    <w:rPr>
      <w:sz w:val="24"/>
      <w:szCs w:val="24"/>
      <w:lang w:val="en-US" w:eastAsia="en-US"/>
    </w:rPr>
  </w:style>
  <w:style w:type="character" w:styleId="FooterChar" w:customStyle="1">
    <w:name w:val="Footer Char"/>
    <w:basedOn w:val="DefaultParagraphFont"/>
    <w:link w:val="Footer"/>
    <w:uiPriority w:val="99"/>
    <w:qFormat/>
    <w:rsid w:val="005c20ff"/>
    <w:rPr>
      <w:sz w:val="24"/>
      <w:szCs w:val="24"/>
      <w:lang w:val="en-US" w:eastAsia="en-US"/>
    </w:rPr>
  </w:style>
  <w:style w:type="character" w:styleId="BalloonTextChar" w:customStyle="1">
    <w:name w:val="Balloon Text Char"/>
    <w:basedOn w:val="DefaultParagraphFont"/>
    <w:link w:val="BalloonText"/>
    <w:uiPriority w:val="99"/>
    <w:semiHidden/>
    <w:qFormat/>
    <w:rsid w:val="00be5ca6"/>
    <w:rPr>
      <w:rFonts w:ascii="Segoe UI" w:hAnsi="Segoe UI" w:cs="Segoe UI"/>
      <w:sz w:val="18"/>
      <w:szCs w:val="18"/>
      <w:lang w:val="en-US"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pPr>
      <w:widowControl/>
      <w:pBdr/>
      <w:bidi w:val="0"/>
      <w:spacing w:lineRule="auto" w:line="288" w:before="160" w:after="0"/>
      <w:jc w:val="left"/>
    </w:pPr>
    <w:rPr>
      <w:rFonts w:ascii="Helvetica Neue" w:hAnsi="Helvetica Neue" w:cs="Arial Unicode MS" w:eastAsia="Arial Unicode MS"/>
      <w:color w:val="000000"/>
      <w:kern w:val="0"/>
      <w:sz w:val="24"/>
      <w:szCs w:val="24"/>
      <w:lang w:val="en-IN" w:eastAsia="en-IN" w:bidi="ar-SA"/>
      <w14:textOutline w14:w="0" w14:cap="flat" w14:cmpd="sng" w14:algn="ctr">
        <w14:noFill/>
        <w14:prstDash w14:val="solid"/>
        <w14:bevel/>
      </w14:textOutline>
    </w:rPr>
  </w:style>
  <w:style w:type="paragraph" w:styleId="Title">
    <w:name w:val="Title"/>
    <w:next w:val="Body"/>
    <w:qFormat/>
    <w:pPr>
      <w:keepNext w:val="true"/>
      <w:widowControl/>
      <w:pBdr/>
      <w:bidi w:val="0"/>
      <w:spacing w:before="0" w:after="0"/>
      <w:jc w:val="left"/>
    </w:pPr>
    <w:rPr>
      <w:rFonts w:ascii="Helvetica Neue" w:hAnsi="Helvetica Neue" w:cs="Arial Unicode MS" w:eastAsia="Arial Unicode MS"/>
      <w:b/>
      <w:bCs/>
      <w:color w:val="000000"/>
      <w:kern w:val="0"/>
      <w:sz w:val="60"/>
      <w:szCs w:val="60"/>
      <w:lang w:val="en-US" w:eastAsia="en-IN" w:bidi="ar-SA"/>
      <w14:textOutline w14:w="0" w14:cap="flat" w14:cmpd="sng" w14:algn="ctr">
        <w14:noFill/>
        <w14:prstDash w14:val="solid"/>
        <w14:bevel/>
      </w14:textOutline>
    </w:rPr>
  </w:style>
  <w:style w:type="paragraph" w:styleId="Body" w:customStyle="1">
    <w:name w:val="Body"/>
    <w:qFormat/>
    <w:pPr>
      <w:widowControl/>
      <w:pBdr/>
      <w:bidi w:val="0"/>
      <w:spacing w:before="0" w:after="0"/>
      <w:jc w:val="left"/>
    </w:pPr>
    <w:rPr>
      <w:rFonts w:ascii="Helvetica Neue" w:hAnsi="Helvetica Neue" w:cs="Arial Unicode MS" w:eastAsia="Arial Unicode MS"/>
      <w:color w:val="000000"/>
      <w:kern w:val="0"/>
      <w:sz w:val="22"/>
      <w:szCs w:val="22"/>
      <w:lang w:val="en-US" w:eastAsia="en-IN" w:bidi="ar-SA"/>
      <w14:textOutline w14:w="0" w14:cap="flat" w14:cmpd="sng" w14:algn="ctr">
        <w14:noFill/>
        <w14:prstDash w14:val="solid"/>
        <w14:bevel/>
      </w14:textOutline>
    </w:rPr>
  </w:style>
  <w:style w:type="paragraph" w:styleId="HeaderandFooter">
    <w:name w:val="Header and Footer"/>
    <w:basedOn w:val="Normal"/>
    <w:qFormat/>
    <w:pPr/>
    <w:rPr/>
  </w:style>
  <w:style w:type="paragraph" w:styleId="Header">
    <w:name w:val="Header"/>
    <w:basedOn w:val="Normal"/>
    <w:link w:val="HeaderChar"/>
    <w:uiPriority w:val="99"/>
    <w:unhideWhenUsed/>
    <w:rsid w:val="005c20ff"/>
    <w:pPr>
      <w:tabs>
        <w:tab w:val="clear" w:pos="720"/>
        <w:tab w:val="center" w:pos="4513" w:leader="none"/>
        <w:tab w:val="right" w:pos="9026" w:leader="none"/>
      </w:tabs>
    </w:pPr>
    <w:rPr/>
  </w:style>
  <w:style w:type="paragraph" w:styleId="Footer">
    <w:name w:val="Footer"/>
    <w:basedOn w:val="Normal"/>
    <w:link w:val="FooterChar"/>
    <w:uiPriority w:val="99"/>
    <w:unhideWhenUsed/>
    <w:rsid w:val="005c20ff"/>
    <w:pPr>
      <w:tabs>
        <w:tab w:val="clear" w:pos="720"/>
        <w:tab w:val="center" w:pos="4513" w:leader="none"/>
        <w:tab w:val="right" w:pos="9026" w:leader="none"/>
      </w:tabs>
    </w:pPr>
    <w:rPr/>
  </w:style>
  <w:style w:type="paragraph" w:styleId="BalloonText">
    <w:name w:val="Balloon Text"/>
    <w:basedOn w:val="Normal"/>
    <w:link w:val="BalloonTextChar"/>
    <w:uiPriority w:val="99"/>
    <w:semiHidden/>
    <w:unhideWhenUsed/>
    <w:qFormat/>
    <w:rsid w:val="00be5ca6"/>
    <w:pPr/>
    <w:rPr>
      <w:rFonts w:ascii="Segoe UI" w:hAnsi="Segoe UI" w:cs="Segoe UI"/>
      <w:sz w:val="18"/>
      <w:szCs w:val="18"/>
    </w:rPr>
  </w:style>
  <w:style w:type="numbering" w:styleId="NoList" w:default="1">
    <w:name w:val="No List"/>
    <w:uiPriority w:val="99"/>
    <w:semiHidden/>
    <w:unhideWhenUsed/>
    <w:qFormat/>
  </w:style>
  <w:style w:type="numbering" w:styleId="Bullet" w:customStyle="1">
    <w:name w:val="Bullet"/>
    <w:qFormat/>
  </w:style>
  <w:style w:type="numbering" w:styleId="Numbered" w:customStyle="1">
    <w:name w:val="Numbered"/>
    <w:qFormat/>
  </w:style>
  <w:style w:type="numbering" w:styleId="Dash" w:customStyle="1">
    <w:name w:val="Dash"/>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Application>LibreOffice/7.3.7.2$Linux_X86_64 LibreOffice_project/30$Build-2</Application>
  <AppVersion>15.0000</AppVersion>
  <Pages>9</Pages>
  <Words>860</Words>
  <Characters>4593</Characters>
  <CharactersWithSpaces>5403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2024-07-20T12:47:00Z</dcterms:created>
  <dc:creator>TAG109_1</dc:creator>
  <dc:description/>
  <dc:language>en-IN</dc:language>
  <cp:lastModifiedBy/>
  <cp:lastPrinted>2024-07-19T21:06:00Z</cp:lastPrinted>
  <dcterms:modified xsi:type="dcterms:W3CDTF">2024-12-06T12:58:10Z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