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50/100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11.59 元</w:t>
      </w:r>
      <w:r>
        <w:rPr>
          <w:rFonts w:ascii="Microsoft YaHei" w:hAnsi="Microsoft YaHei" w:eastAsia="Microsoft YaHei"/>
          <w:b w:val="0"/>
          <w:sz w:val="21"/>
        </w:rPr>
        <w:t xml:space="preserve"> (+0.87%) ｜ PE(TTM) 206.0 ｜ PB 2.80 ｜ 流通市值 100.8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11:01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11.24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12.75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14.49 / 17.38)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-14.2%)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206.0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50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11.24~11.59 支撑区低吸, 上轨 12.75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12.75 一带减仓; ② 跌破 9.95 转空离场; ③ 放量站稳 12.75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短线 1-2 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11:00:38 | 状态: ok:ths, 3587ms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11:00:37 | 状态: ok:eastmoney, 2421ms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11:00:38 | 状态: ok:datacenter RPT_F10_FINANCE_MAINFINADATA, 1669ms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11:01:13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11:01:05 | 状态: ok:eastmoney-datacenter, 648ms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11:01:09 | 状态: error:Expecting value: line 1 column 1 (char 0), 4298ms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03:01:04 | 状态: ok:sina_stock_news, 22615ms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量比2.2温和放量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PE=206.0极高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换手13.2%过高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206.0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11:00:05 | 状态: ok, 11655ms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11:00:17 | 状态: ok, 955ms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11:00:28 | 状态: ok, 577ms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11.59 元 (+0.87%)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100.82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10:59:53 | 状态: ok, 1662ms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11:00:13 | 状态: fallback:接口返回0条(可能风控), 8796ms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11:00:16 | 状态: error:Expecting value: line 1 column 1 (char 0), 2303ms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11:00:30 | 状态: ok, 4361ms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11:00:21 | 状态: ok, 2418ms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教育运营及其他(8.89%)、粮食种植(7.58%)、学历教育(6.73%)、氮肥(6.61%)、磷肥及磷化工(5.95%)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业绩增长(3) | 高端PCB(2) | 中报扭亏(2) | 中报增长(2)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11:00:28 | 状态: ok, 6399ms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涨+0.9%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PE=206.0极高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换手13.2%过高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量比2.2温和放量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12.75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14.49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11.24~11.59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1662ms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8796ms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2303ms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4361ms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2421ms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1669ms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3587ms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22615ms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648ms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(4361ms,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8796ms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2303ms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81.7s ｜ 起 2026-09-08T10:59:51+08:00 → 止 2026-09-08T11:01:13+08:00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11:01,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11:01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