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10.81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-4.93%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94.0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192.1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2.61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8.96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10.81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-33.8%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ma60=8.93 / recent_low=7.16 / chip_peak=11.35 / boll_lower=8.01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ma250_or_ma120=9.77 / recent_high=12.20 / boll_upper=11.75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45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11.89 减仓、下沿 10.49 低吸、严格止损 10.05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11.89 / 中 13.51 / 远 16.21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10.49~10.81 元 (分批上限 10.81)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192.1 极高估, 泡沫风险 (估值分位 71.6%)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11.89 减仓、下沿 10.49 低吸、严格止损 10.05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10.49~10.81 支撑区低吸, 上轨 11.89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11.89 一带减仓; ② 跌破 10.05 转空离场; ③ 放量站稳 11.89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10.05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11:14:59 | 状态: ok:ths, 5911ms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11:14:55 | 状态: ok:eastmoney, 4286ms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11:14:59 | 状态: ok:datacenter RPT_F10_FINANCE_MAINFINADATA, 3687ms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11:15:29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-0.269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-0.269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-0.088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-0.088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1.610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2026-09-03 ~ 2026-09-09)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11:15:21 | 状态: ok:eastmoney-datacenter, 916ms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11:15:26 | 状态: ok, 4633ms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03:15:20 | 状态: ok:sina_stock_news, 15526ms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PB=2.61正常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换手7.5%活跃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90%集中度14.0%(极集中)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跌-4.9%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PE=192.1极高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PE消化9.6年(慢)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PEG=8.96贵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PE历史分位71.6%(偏高)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振幅6.3%较大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中盘股(94亿)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192.1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2.61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8.96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9.6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11:14:15 | 状态: ok, 8828ms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77.1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11:14:15 | 状态: ok, 8828ms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202.09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71.6%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11:14:27 | 状态: ok, 1672ms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+0.1%（主成本区附近，主力没动）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14.0%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+6.9%（成本博弈区）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73.41%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8.87 ~ 11.76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 ~ 11.52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14.00%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9.77%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11:14:43 | 状态: ok, 1352ms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10.81 元 (-4.93%)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6.33%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7.52%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94.03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11:14:07 | 状态: ok, 2620ms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11:14:21 | 状态: fallback:接口返回0条(可能风控), 5930ms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当日无成交或分钟数据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11:14:25 | 状态: fallback:当日无成交或分钟数据, 3877ms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11:14:44 | 状态: ok, 6364ms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11:14:34 | 状态: ok, 5493ms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商业航天(2) | 央企(2) | 庭外重组推进(1) | 海外煤炭(1) | 生物柴油(1)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11:14:42 | 状态: ok, 7205ms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跌-4.9%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PE=192.1极高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PB=2.61正常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PE消化9.6年(慢)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PEG=8.96贵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PE历史分位71.6%(偏高)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换手7.5%活跃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振幅6.3%较大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中盘股(94亿)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获利盘73.4%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90%集中度14.0%(极集中)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11.89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13.51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10.49~10.81 区间不破 10.05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10.05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8828ms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5930ms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fallback:当日无成交或分钟数据, 3877ms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1672ms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2113ms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5493ms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7205ms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1352ms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6364ms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4286ms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3687ms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5911ms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15526ms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916ms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(6364ms,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5930ms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fallback:当日无成交或分钟数据, 3877ms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85.4s ｜ 起 2026-09-10T11:14:04+08:00 → 止 2026-09-10T11:15:29+08:00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11:15,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11:15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