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-4.84%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192.3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8.97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+12.8%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ma60=8.93 / recent_low=7.16 / chip_peak=11.35 / boll_lower=8.01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ma250_or_ma120=9.77 / recent_high=12.20 / boll_upper=11.75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45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11.9 减仓、下沿 10.5 低吸、严格止损 10.06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11.90 / 中 13.53 / 远 16.23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10.50~10.82 元 (分批上限 10.82)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192.3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11.9 减仓、下沿 10.5 低吸、严格止损 10.06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10.50~10.82 支撑区低吸, 上轨 11.90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11.90 一带减仓; ② 跌破 10.06 转空离场; ③ 放量站稳 11.90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10.06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11:36:39 | 状态: ok:ths, 3914ms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11:36:37 | 状态: ok:eastmoney, 1969ms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11:36:39 | 状态: ok:datacenter RPT_F10_FINANCE_MAINFINADATA, 2051ms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11:37:48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11:37:36 | 状态: ok:eastmoney-datacenter, 502ms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11:37:44 | 状态: error:HTTPSConnectionPool(host='push2his.eastmoney.com', port=443): Max retries exceed, 7818ms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03:36:58 | 状态: ok:sina_stock_news, 14300ms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PB=2.61正常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换手7.7%活跃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PE=192.3极高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PE消化9.6年(慢)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PEG=8.97贵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192.3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2.61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8.97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9.6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11:35:58 | 状态: ok, 6218ms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77.3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11:35:58 | 状态: ok, 6218ms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11:36:13 | 状态: ok, 4315ms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11:36:28 | 状态: ok, 1817ms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10.82 元 (-4.84%)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94.12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11:35:52 | 状态: ok, 1906ms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11:36:04 | 状态: fallback:接口返回0条(可能风控), 6280ms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11:36:08 | 状态: error:HTTPSConnectionPool(host='push2his.eastmoney.com', port=443), 4060ms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11:36:30 | 状态: ok, 5255ms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11:36:20 | 状态: ok, 5728ms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商业航天(2) | 央企(2) | 庭外重组推进(1) | 海外煤炭(1) | 生物柴油(1)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11:36:27 | 状态: ok, 6928ms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PE=192.3极高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PB=2.61正常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PE消化9.6年(慢)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PEG=8.97贵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换手7.7%活跃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11.90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13.53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10.50~10.82 区间不破 10.06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10.06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0.00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0.00 元（分红率低，回报股东能力弱）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6218ms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6280ms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4060ms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1486ms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6928ms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1969ms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2051ms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3914ms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14300ms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24845ms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5502ms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502ms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(5255ms,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6280ms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4060ms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118.7s ｜ 起 2026-09-10T11:35:50+08:00 → 止 2026-09-10T11:37:48+08:00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11:37,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0.00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0.00 元（分红率低，回报股东能力弱）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11:37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