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37/100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37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10.92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9.23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37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9.63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10.92 一带分批减仓; 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9.23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15:07:20 | 状态: ok:ths, 2357ms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15:07:19 | 状态: ok:eastmoney, 1924ms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15:07:20 | 状态: ok:datacenter RPT_F10_FINANCE_MAINFINADATA, 1846ms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15:08:46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15:08:30 | 状态: ok:eastmoney-datacenter, 724ms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15:08:43 | 状态: error:HTTPSConnectionPool(host='push2his.eastmoney.com', port=443): Max retries exceed, 13145ms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07:08:04 | 状态: ok:sina_stock_news, 41237ms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15:06:36 | 状态: ok, 3428ms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15:06:36 | 状态: ok, 3428ms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15:06:59 | 状态: ok, 1874ms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15:07:06 | 状态: ok, 225ms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15:06:33 | 状态: ok, 627ms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15:06:53 | 状态: error:接口异常, 16766ms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15:06:57 | 状态: error:HTTPSConnectionPool(host='push2his.eastmoney.com', port=443), 3607ms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15:07:02 | 状态: ok, 1877ms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15:07:06 | 状态: ok, 3295ms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-10.006670951843262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3428ms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16766ms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1874ms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3295ms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5326ms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1924ms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2357ms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41237ms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2798ms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12488ms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3912ms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5644ms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724ms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16766ms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3607ms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5326ms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134.2s ｜ 起 2026-09-11T15:06:32+08:00 → 止 2026-09-11T15:08:46+08:00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15:08,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-10.006670951843262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15:08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