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11.50 元</w:t>
      </w:r>
      <w:r>
        <w:rPr>
          <w:rFonts w:ascii="Microsoft YaHei" w:hAnsi="Microsoft YaHei" w:eastAsia="Microsoft YaHei"/>
          <w:b w:val="0"/>
          <w:sz w:val="21"/>
        </w:rPr>
        <w:t xml:space="preserve"> (+0.09%) ｜ PE(TTM) 204.4 ｜ PB 2.78 ｜ 流通市值 100.0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11:16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12.65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14.38 / 17.25)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-13.5%)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204.4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11.15~11.50 支撑区低吸, 上轨 12.65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12.65 一带减仓; ② 跌破 9.95 转空离场; ③ 放量站稳 12.65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11:15:48 | 状态: ok:ths, 3503ms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11:15:47 | 状态: ok:eastmoney, 5143ms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11:15:48 | 状态: ok:datacenter RPT_F10_FINANCE_MAINFINADATA, 1896ms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11:16:25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11:16:17 | 状态: ok:eastmoney-datacenter, 962ms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11:16:22 | 状态: error:Expecting value: line 1 column 1 (char 0), 4288ms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03:16:17 | 状态: ok:sina_stock_news, 24594ms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量比1.9温和放量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PE=204.4极高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204.4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3.83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11:15:14 | 状态: ok, 10363ms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11:15:14 | 状态: ok, 10363ms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11:15:24 | 状态: ok, 2122ms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11:15:33 | 状态: ok, 687ms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11.50 元 (+0.09%)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1.89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100.03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11:15:03 | 状态: ok, 1667ms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11:15:20 | 状态: fallback:接口返回0条(可能风控), 5745ms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11:15:22 | 状态: error:Expecting value: line 1 column 1 (char 0), 2193ms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11:15:36 | 状态: ok, 5836ms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11:15:28 | 状态: ok, 3049ms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中报扭亏(2) | 中报增长(2) | 业绩增长(2) | 磷化工(2)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11:15:33 | 状态: ok, 4200ms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PE=204.4极高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量比1.9温和放量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12.65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14.38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11.15~11.50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10363ms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5745ms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2193ms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5836ms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5143ms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3503ms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24594ms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962ms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(5836ms,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5745ms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2193ms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83.6s ｜ 起 2026-09-08T11:15:02+08:00 → 止 2026-09-08T11:16:25+08:00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11:16,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11:16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