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结论前置 · 30 秒决策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中性偏空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震荡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DC2626"/>
          <w:sz w:val="28"/>
        </w:rPr>
        <w:t>46/100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现价 </w:t>
      </w:r>
      <w:r>
        <w:rPr>
          <w:rFonts w:ascii="Microsoft YaHei" w:hAnsi="Microsoft YaHei" w:eastAsia="Microsoft YaHei"/>
          <w:b/>
          <w:sz w:val="21"/>
        </w:rPr>
        <w:t>11.52 元</w:t>
      </w:r>
      <w:r>
        <w:rPr>
          <w:rFonts w:ascii="Microsoft YaHei" w:hAnsi="Microsoft YaHei" w:eastAsia="Microsoft YaHei"/>
          <w:b w:val="0"/>
          <w:sz w:val="21"/>
        </w:rPr>
        <w:t xml:space="preserve"> (+0.26%) ｜ PE(TTM) 204.8 ｜ PB 2.78 ｜ 流通市值 100.2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一句话理由: </w:t>
      </w:r>
      <w:r>
        <w:rPr>
          <w:rFonts w:ascii="Microsoft YaHei" w:hAnsi="Microsoft YaHei" w:eastAsia="Microsoft YaHei"/>
          <w:b/>
          <w:sz w:val="21"/>
        </w:rPr>
        <w:t>减仓观望，已有持仓设紧止损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报告生成: 2026-09-08 11:22 (报告日期 2026-09-08)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三价位 (支撑 / 压力 / 止损)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11.17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回调买入区下沿 (现价-3%, 分批进场上限 11.52)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12.67 元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第一目标 (+10%, 先减半仓锁利; 远档 14.40 / 17.28)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9.95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跌破必走 (现价下方 -13.6%)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三价位均由 V2 同源实时模型推导: 腾讯实时行情价 + baostock 前复权筹码K线, 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5803D"/>
          <w:sz w:val="21"/>
        </w:rPr>
        <w:t>🟢</w:t>
      </w:r>
      <w:r>
        <w:rPr>
          <w:rFonts w:ascii="Microsoft YaHei" w:hAnsi="Microsoft YaHei" w:eastAsia="Microsoft YaHei"/>
          <w:b w:val="0"/>
          <w:color w:val="15803D"/>
          <w:sz w:val="21"/>
        </w:rPr>
        <w:t xml:space="preserve"> 未来 90 天无解禁压力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B45309"/>
          <w:sz w:val="21"/>
        </w:rPr>
        <w:t>🟡</w:t>
      </w:r>
      <w:r>
        <w:rPr>
          <w:rFonts w:ascii="Microsoft YaHei" w:hAnsi="Microsoft YaHei" w:eastAsia="Microsoft YaHei"/>
          <w:b w:val="0"/>
          <w:color w:val="B45309"/>
          <w:sz w:val="21"/>
        </w:rPr>
        <w:t xml:space="preserve"> 最近已披露 2026-06-30; 下一法定披露截止 2026-10-31 (三季报) 距今 52 天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PE(TTM) 204.8 极高估, 泡沫风险 (估值分位 72.0%)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龙虎榜近30日平均净卖出 -9,538 万元 — 游资/机构撤退信号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检查项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触发条件与纪律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当前状态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震荡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(评分 46 分)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买入触发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仅在 11.17~11.52 支撑区低吸, 上轨 12.67 附近不过量追高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卖出/减仓触发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① 反弹至 12.67 一带减仓; ② 跌破 9.95 转空离场; ③ 放量站稳 12.67 上沿再按看多纪律执行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止损纪律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9.95 为区间底沿, 收盘破位即走, 不猜底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仓位建议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不进场 / 已有持仓减仓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以低吸高抛为主, 周期 中线 3-6 个月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2026-09-08 11:21:42 | 状态: ok:ths, 4295ms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6 条 (展示 6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6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2026-09-08 11:21:30 | 状态: ok:eastmoney, 3236ms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2026-09-08 11:21:42 | 状态: ok:datacenter RPT_F10_FINANCE_MAINFINADATA, 11928ms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11:22:20 | 状态: error:概念板块列表为空(东财 slist 返回 0 条, 可能风控), 无法做同业对比, 1505ms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2026-09-07): 融资余额 </w:t>
      </w:r>
      <w:r>
        <w:rPr>
          <w:rFonts w:ascii="Microsoft YaHei" w:hAnsi="Microsoft YaHei" w:eastAsia="Microsoft YaHei"/>
          <w:b/>
          <w:sz w:val="21"/>
        </w:rPr>
        <w:t>1.43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1.073 亿 / 偿还 0.972 亿 → 融资净 </w:t>
      </w:r>
      <w:r>
        <w:rPr>
          <w:rFonts w:ascii="Microsoft YaHei" w:hAnsi="Microsoft YaHei" w:eastAsia="Microsoft YaHei"/>
          <w:b/>
          <w:sz w:val="21"/>
        </w:rPr>
        <w:t>0.102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2026-09-07 1.43亿 vs 2026-08-27 0.85亿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+0.10%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11:22:09 | 状态: ok:eastmoney-datacenter, 681ms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11:22:15 | 状态: error:HTTPSConnectionPool(host='push2his.eastmoney.com', port=443): Max retries exceed, 6894ms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2026-09-08 08:01:00 东百集团：9月7日获融资买入1.07亿元，融资余额1.43亿元占流通市值比例1.43%，低于近一年10%分位水平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2026-09-02 09:31:00 零售股延续涨势，国芳集团4连板，茂业商业2连板，国光连锁、东百集团、红旗连锁、永辉超市跟涨。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2026-08-30 14:48:00 一年内连落三城，东百集团加快轻资产布局，向外输出商管能力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2026-09-08 03:22:08 | 状态: ok:sina_stock_news, 21961ms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涨+0.3%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PB=2.78正常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量比1.8温和放量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获利盘94.2%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90%集中度13.6%(极集中)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行业变更2次(稳定)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PE=204.8极高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PE消化5.2年(慢)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PEG=3.84贵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PE历史分位72.0%(偏高)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换手13.7%过高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振幅8.7%剧烈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中盘股(100亿)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PE&gt;205极高估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204.8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2.78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3.84</w:t>
      </w:r>
      <w:r>
        <w:rPr>
          <w:rFonts w:ascii="Microsoft YaHei" w:hAnsi="Microsoft YaHei" w:eastAsia="Microsoft YaHei"/>
          <w:b w:val="0"/>
          <w:sz w:val="21"/>
        </w:rPr>
        <w:t xml:space="preserve"> — PEG &gt; 1.5, 偏贵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5.2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11:20:56 | 状态: ok, 5125ms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82.3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3.84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11:20:56 | 状态: ok, 5125ms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204.22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72.0%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72.0%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89.8%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2023-08-01 ~ 2026-09-07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11:21:10 | 状态: ok, 4494ms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94% 持仓赚钱，套牢盘轻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现价距筹码峰 +1.2%（主成本区附近，主力没动）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13.6%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现价高于平均成本 +12.0%（安全垫 12.0%）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94.22%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10.26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8.74 ~ 11.49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9.26 ~ 11.27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9.78%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2025-12-12 ~ 2026-09-07 (179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1,546.7%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11:21:20 | 状态: ok, 1499ms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11.52 元 (+0.26%)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12.64 / 10.34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8.70%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13.72%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1.83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100.21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11:20:51 | 状态: ok, 1659ms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11:21:02 | 状态: fallback:接口返回0条(可能风控), 5468ms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11:21:05 | 状态: error:HTTPSConnectionPool(host='push2his.eastmoney.com', port=443), 3646ms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🏭 申万行业分类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当前一级行业代码: </w:t>
      </w:r>
      <w:r>
        <w:rPr>
          <w:rFonts w:ascii="Microsoft YaHei" w:hAnsi="Microsoft YaHei" w:eastAsia="Microsoft YaHei"/>
          <w:b/>
          <w:sz w:val="21"/>
        </w:rPr>
        <w:t>450000</w:t>
      </w:r>
      <w:r>
        <w:rPr>
          <w:rFonts w:ascii="Microsoft YaHei" w:hAnsi="Microsoft YaHei" w:eastAsia="Microsoft YaHei"/>
          <w:b w:val="0"/>
          <w:sz w:val="21"/>
        </w:rPr>
        <w:t xml:space="preserve"> / 二级 450300 (自 2014-02-21 起)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历史变更 2 次 (中位数 2) — 很稳定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行业分类稳定, 历史数据可用性高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申万行业分类表 swsresearch | 抓取于 11:21:22 | 状态: ok, 4857ms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11:21:13 | 状态: ok, 1831ms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379.8 亿 ｜ 合计 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AI应用(5) | 存储芯片(3) | 中报扭亏(2) | 中报增长(2) | 业绩增长(2) | 磷化工(2)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11:21:18 | 状态: ok, 5049ms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46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涨+0.3%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PE=204.8极高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PB=2.78正常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PE消化5.2年(慢)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PEG=3.84贵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PE历史分位72.0%(偏高)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换手13.7%过高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量比1.8温和放量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振幅8.7%剧烈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中盘股(100亿)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PE&gt;205极高估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获利盘94.2%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90%集中度13.6%(极集中)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行业变更2次(稳定)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当前申万一级:450000 L2:450300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12.67 (+10%)</w:t>
      </w:r>
      <w:r>
        <w:rPr>
          <w:rFonts w:ascii="Microsoft YaHei" w:hAnsi="Microsoft YaHei" w:eastAsia="Microsoft YaHei"/>
          <w:b w:val="0"/>
          <w:sz w:val="21"/>
        </w:rPr>
        <w:t>：卖 1/2 仓锁利, 留 1/2 看 14.40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11.17~11.52 区间不破 9.95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9.95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1659ms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5125ms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5468ms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3646ms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4494ms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1719ms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1831ms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5049ms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1499ms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4857ms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3236ms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11928ms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4295ms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21961ms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681ms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last_bar=2026-09-07 vs 最新交易日=2026-09-08 -&gt; warn (K线停在 2026-09-07, 最新交易日 2026-09-08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SSL直连失败(申万表加载失败) → verify=False 重试成功 (4857ms, 变更2次) [环境CA问题已绕过, 如实记录]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5468ms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3646ms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2026-09-07, 最新交易日 2026-09-08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90.4s ｜ 起 2026-09-08T11:20:49+08:00 → 止 2026-09-08T11:22:20+08:00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2026-09-08 11:22, 市场随时变化, 请独立判断。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2026-09-08 11:22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